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333" w:left="0" w:firstLine="0"/>
        <w:jc w:val="center"/>
        <w:rPr>
          <w:rFonts w:ascii="Arial" w:hAnsi="Arial" w:cs="Arial" w:eastAsia="Arial"/>
          <w:color w:val="000000"/>
          <w:spacing w:val="0"/>
          <w:position w:val="0"/>
          <w:sz w:val="20"/>
          <w:shd w:fill="E0E0E0" w:val="clear"/>
        </w:rPr>
      </w:pPr>
      <w:r>
        <w:rPr>
          <w:rFonts w:ascii="Arial" w:hAnsi="Arial" w:cs="Arial" w:eastAsia="Arial"/>
          <w:b/>
          <w:color w:val="000000"/>
          <w:spacing w:val="0"/>
          <w:position w:val="0"/>
          <w:sz w:val="36"/>
          <w:shd w:fill="E0E0E0" w:val="clear"/>
        </w:rPr>
        <w:t xml:space="preserve">Fiche de données de securité</w:t>
      </w:r>
    </w:p>
    <w:p>
      <w:pPr>
        <w:tabs>
          <w:tab w:val="center" w:pos="1779" w:leader="none"/>
          <w:tab w:val="center" w:pos="8045" w:leader="none"/>
        </w:tabs>
        <w:spacing w:before="0" w:after="37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15/02/2022</w:t>
        <w:tab/>
        <w:t xml:space="preserve">Révision : 001NEW-1-CLP du 15/02/2022</w:t>
      </w:r>
    </w:p>
    <w:p>
      <w:pPr>
        <w:keepNext w:val="true"/>
        <w:keepLines w:val="true"/>
        <w:spacing w:before="0" w:after="136" w:line="259"/>
        <w:ind w:right="331"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Miel 10%</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Miel 10%</w:t>
      </w:r>
    </w:p>
    <w:p>
      <w:pPr>
        <w:spacing w:before="0" w:after="701" w:line="265"/>
        <w:ind w:right="225"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313" w:left="-5" w:hanging="10"/>
        <w:jc w:val="both"/>
        <w:rPr>
          <w:rFonts w:ascii="Arial" w:hAnsi="Arial" w:cs="Arial" w:eastAsia="Arial"/>
          <w:color w:val="000000"/>
          <w:spacing w:val="0"/>
          <w:position w:val="0"/>
          <w:sz w:val="20"/>
          <w:shd w:fill="auto" w:val="clear"/>
        </w:rPr>
      </w:pPr>
    </w:p>
    <w:p>
      <w:pPr>
        <w:spacing w:before="0" w:after="152"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313" w:left="747" w:hanging="10"/>
        <w:jc w:val="both"/>
        <w:rPr>
          <w:rFonts w:ascii="Arial" w:hAnsi="Arial" w:cs="Arial" w:eastAsia="Arial"/>
          <w:color w:val="000000"/>
          <w:spacing w:val="0"/>
          <w:position w:val="0"/>
          <w:sz w:val="18"/>
          <w:shd w:fill="auto" w:val="clear"/>
        </w:rPr>
      </w:pPr>
    </w:p>
    <w:p>
      <w:pPr>
        <w:spacing w:before="0" w:after="153" w:line="265"/>
        <w:ind w:right="313" w:left="747" w:hanging="10"/>
        <w:jc w:val="both"/>
        <w:rPr>
          <w:rFonts w:ascii="Arial" w:hAnsi="Arial" w:cs="Arial" w:eastAsia="Arial"/>
          <w:color w:val="000000"/>
          <w:spacing w:val="0"/>
          <w:position w:val="0"/>
          <w:sz w:val="18"/>
          <w:shd w:fill="auto" w:val="clear"/>
        </w:rPr>
      </w:pPr>
    </w:p>
    <w:p>
      <w:pPr>
        <w:spacing w:before="0" w:after="153" w:line="265"/>
        <w:ind w:right="313" w:left="747" w:hanging="10"/>
        <w:jc w:val="both"/>
        <w:rPr>
          <w:rFonts w:ascii="Arial" w:hAnsi="Arial" w:cs="Arial" w:eastAsia="Arial"/>
          <w:color w:val="000000"/>
          <w:spacing w:val="0"/>
          <w:position w:val="0"/>
          <w:sz w:val="18"/>
          <w:shd w:fill="auto" w:val="clear"/>
        </w:rPr>
      </w:pPr>
    </w:p>
    <w:p>
      <w:pPr>
        <w:spacing w:before="0" w:after="153"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22 64 96 36</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3"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326" w:line="251"/>
        <w:ind w:right="232"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chromen-2-one (coumarin), 2-methoxy-4-prop-2-enylphenol (eugenol).  Peut produire une réaction allergique</w:t>
      </w:r>
    </w:p>
    <w:p>
      <w:pPr>
        <w:spacing w:before="0" w:after="13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20"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P501 - Éliminer le contenu/récipient dans …</w:t>
      </w:r>
    </w:p>
    <w:p>
      <w:pPr>
        <w:spacing w:before="0" w:after="49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chromen-2-one (coumarin), 2-methoxy-4-prop-2-enylphenol (eugenol).  Peut produire une réaction allergique</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784"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10"/>
        <w:gridCol w:w="991"/>
        <w:gridCol w:w="779"/>
        <w:gridCol w:w="2998"/>
        <w:gridCol w:w="1318"/>
      </w:tblGrid>
      <w:tr>
        <w:trPr>
          <w:trHeight w:val="349" w:hRule="auto"/>
          <w:jc w:val="left"/>
        </w:trPr>
        <w:tc>
          <w:tcPr>
            <w:tcW w:w="3510" w:type="dxa"/>
            <w:tcBorders>
              <w:top w:val="single" w:color="000000" w:sz="2"/>
              <w:left w:val="single" w:color="000000" w:sz="2"/>
              <w:bottom w:val="single" w:color="c0c0c0" w:sz="2"/>
              <w:right w:val="single" w:color="000000" w:sz="4"/>
            </w:tcBorders>
            <w:shd w:color="000000" w:fill="ffffff" w:val="clear"/>
            <w:tcMar>
              <w:left w:w="64" w:type="dxa"/>
              <w:right w:w="64" w:type="dxa"/>
            </w:tcMar>
            <w:vAlign w:val="top"/>
          </w:tcPr>
          <w:p>
            <w:pPr>
              <w:spacing w:before="0" w:after="0" w:line="259"/>
              <w:ind w:right="0" w:left="29" w:firstLine="0"/>
              <w:jc w:val="center"/>
              <w:rPr>
                <w:spacing w:val="0"/>
                <w:position w:val="0"/>
                <w:shd w:fill="auto" w:val="clear"/>
              </w:rPr>
            </w:pPr>
            <w:r>
              <w:rPr>
                <w:rFonts w:ascii="Arial" w:hAnsi="Arial" w:cs="Arial" w:eastAsia="Arial"/>
                <w:color w:val="000000"/>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5"/>
            </w:tcBorders>
            <w:shd w:color="000000" w:fill="ffffff" w:val="clear"/>
            <w:tcMar>
              <w:left w:w="64" w:type="dxa"/>
              <w:right w:w="64" w:type="dxa"/>
            </w:tcMar>
            <w:vAlign w:val="top"/>
          </w:tcPr>
          <w:p>
            <w:pPr>
              <w:spacing w:before="0" w:after="0" w:line="259"/>
              <w:ind w:right="0" w:left="33" w:firstLine="0"/>
              <w:jc w:val="center"/>
              <w:rPr>
                <w:spacing w:val="0"/>
                <w:position w:val="0"/>
                <w:shd w:fill="auto" w:val="clear"/>
              </w:rPr>
            </w:pPr>
            <w:r>
              <w:rPr>
                <w:rFonts w:ascii="Arial" w:hAnsi="Arial" w:cs="Arial" w:eastAsia="Arial"/>
                <w:color w:val="000000"/>
                <w:spacing w:val="0"/>
                <w:position w:val="0"/>
                <w:sz w:val="16"/>
                <w:shd w:fill="auto" w:val="clear"/>
              </w:rPr>
              <w:t xml:space="preserve">C.A.S</w:t>
            </w:r>
          </w:p>
        </w:tc>
        <w:tc>
          <w:tcPr>
            <w:tcW w:w="779" w:type="dxa"/>
            <w:tcBorders>
              <w:top w:val="single" w:color="000000" w:sz="2"/>
              <w:left w:val="single" w:color="000000" w:sz="5"/>
              <w:bottom w:val="single" w:color="c0c0c0" w:sz="2"/>
              <w:right w:val="single" w:color="000000" w:sz="4"/>
            </w:tcBorders>
            <w:shd w:color="000000" w:fill="ffffff" w:val="clear"/>
            <w:tcMar>
              <w:left w:w="64" w:type="dxa"/>
              <w:right w:w="64" w:type="dxa"/>
            </w:tcMar>
            <w:vAlign w:val="top"/>
          </w:tcPr>
          <w:p>
            <w:pPr>
              <w:spacing w:before="0" w:after="0" w:line="259"/>
              <w:ind w:right="0" w:left="43" w:firstLine="0"/>
              <w:jc w:val="both"/>
              <w:rPr>
                <w:spacing w:val="0"/>
                <w:position w:val="0"/>
                <w:shd w:fill="auto" w:val="clear"/>
              </w:rPr>
            </w:pPr>
            <w:r>
              <w:rPr>
                <w:rFonts w:ascii="Arial" w:hAnsi="Arial" w:cs="Arial" w:eastAsia="Arial"/>
                <w:color w:val="000000"/>
                <w:spacing w:val="0"/>
                <w:position w:val="0"/>
                <w:sz w:val="16"/>
                <w:shd w:fill="auto" w:val="clear"/>
              </w:rPr>
              <w:t xml:space="preserve">EINECS</w:t>
            </w:r>
          </w:p>
        </w:tc>
        <w:tc>
          <w:tcPr>
            <w:tcW w:w="2998" w:type="dxa"/>
            <w:tcBorders>
              <w:top w:val="single" w:color="000000" w:sz="2"/>
              <w:left w:val="single" w:color="000000" w:sz="4"/>
              <w:bottom w:val="single" w:color="c0c0c0" w:sz="2"/>
              <w:right w:val="single" w:color="000000" w:sz="4"/>
            </w:tcBorders>
            <w:shd w:color="000000" w:fill="ffffff" w:val="clear"/>
            <w:tcMar>
              <w:left w:w="64" w:type="dxa"/>
              <w:right w:w="64" w:type="dxa"/>
            </w:tcMar>
            <w:vAlign w:val="top"/>
          </w:tcPr>
          <w:p>
            <w:pPr>
              <w:spacing w:before="0" w:after="0" w:line="259"/>
              <w:ind w:right="0" w:left="36" w:firstLine="0"/>
              <w:jc w:val="center"/>
              <w:rPr>
                <w:spacing w:val="0"/>
                <w:position w:val="0"/>
                <w:shd w:fill="auto" w:val="clear"/>
              </w:rPr>
            </w:pPr>
            <w:r>
              <w:rPr>
                <w:rFonts w:ascii="Arial" w:hAnsi="Arial" w:cs="Arial" w:eastAsia="Arial"/>
                <w:color w:val="000000"/>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64" w:type="dxa"/>
              <w:right w:w="64" w:type="dxa"/>
            </w:tcMar>
            <w:vAlign w:val="top"/>
          </w:tcPr>
          <w:p>
            <w:pPr>
              <w:spacing w:before="0" w:after="0" w:line="259"/>
              <w:ind w:right="0" w:left="62" w:firstLine="0"/>
              <w:jc w:val="left"/>
              <w:rPr>
                <w:spacing w:val="0"/>
                <w:position w:val="0"/>
                <w:shd w:fill="auto" w:val="clear"/>
              </w:rPr>
            </w:pPr>
            <w:r>
              <w:rPr>
                <w:rFonts w:ascii="Arial" w:hAnsi="Arial" w:cs="Arial" w:eastAsia="Arial"/>
                <w:color w:val="000000"/>
                <w:spacing w:val="0"/>
                <w:position w:val="0"/>
                <w:sz w:val="16"/>
                <w:shd w:fill="auto" w:val="clear"/>
              </w:rPr>
              <w:t xml:space="preserve">Pourcentage %</w:t>
            </w:r>
          </w:p>
        </w:tc>
      </w:tr>
      <w:tr>
        <w:trPr>
          <w:trHeight w:val="484"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64" w:type="dxa"/>
              <w:right w:w="64" w:type="dxa"/>
            </w:tcMar>
            <w:vAlign w:val="top"/>
          </w:tcPr>
          <w:p>
            <w:pPr>
              <w:spacing w:before="0" w:after="0" w:line="259"/>
              <w:ind w:right="0" w:left="1"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2-methoxy-4-prop-2-enylphenol (eugenol)   (No</w:t>
            </w:r>
          </w:p>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01-2119971802-33-XXXX)</w:t>
            </w:r>
          </w:p>
        </w:tc>
        <w:tc>
          <w:tcPr>
            <w:tcW w:w="991"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center"/>
          </w:tcPr>
          <w:p>
            <w:pPr>
              <w:spacing w:before="0" w:after="0" w:line="259"/>
              <w:ind w:right="0" w:left="20" w:firstLine="0"/>
              <w:jc w:val="center"/>
              <w:rPr>
                <w:spacing w:val="0"/>
                <w:position w:val="0"/>
                <w:shd w:fill="auto" w:val="clear"/>
              </w:rPr>
            </w:pPr>
            <w:r>
              <w:rPr>
                <w:rFonts w:ascii="Arial" w:hAnsi="Arial" w:cs="Arial" w:eastAsia="Arial"/>
                <w:color w:val="000000"/>
                <w:spacing w:val="0"/>
                <w:position w:val="0"/>
                <w:sz w:val="14"/>
                <w:shd w:fill="auto" w:val="clear"/>
              </w:rPr>
              <w:t xml:space="preserve">97-53-0</w:t>
            </w:r>
          </w:p>
        </w:tc>
        <w:tc>
          <w:tcPr>
            <w:tcW w:w="779"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202-589-1</w:t>
            </w:r>
          </w:p>
        </w:tc>
        <w:tc>
          <w:tcPr>
            <w:tcW w:w="2998"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center"/>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Sens. 1B - H317, H319</w:t>
            </w:r>
          </w:p>
        </w:tc>
        <w:tc>
          <w:tcPr>
            <w:tcW w:w="1318" w:type="dxa"/>
            <w:tcBorders>
              <w:top w:val="single" w:color="c0c0c0" w:sz="2"/>
              <w:left w:val="single" w:color="c0c0c0" w:sz="4"/>
              <w:bottom w:val="single" w:color="c0c0c0" w:sz="2"/>
              <w:right w:val="single" w:color="c0c0c0" w:sz="2"/>
            </w:tcBorders>
            <w:shd w:color="000000" w:fill="ffffff" w:val="clear"/>
            <w:tcMar>
              <w:left w:w="64" w:type="dxa"/>
              <w:right w:w="64"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64" w:type="dxa"/>
              <w:right w:w="64" w:type="dxa"/>
            </w:tcMar>
            <w:vAlign w:val="top"/>
          </w:tcPr>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benzyl benzoate   (No REACH : 01-2119976371-33-XXXX)</w:t>
            </w:r>
          </w:p>
        </w:tc>
        <w:tc>
          <w:tcPr>
            <w:tcW w:w="991"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center"/>
          </w:tcPr>
          <w:p>
            <w:pPr>
              <w:spacing w:before="0" w:after="0" w:line="259"/>
              <w:ind w:right="0" w:left="20" w:firstLine="0"/>
              <w:jc w:val="center"/>
              <w:rPr>
                <w:spacing w:val="0"/>
                <w:position w:val="0"/>
                <w:shd w:fill="auto" w:val="clear"/>
              </w:rPr>
            </w:pPr>
            <w:r>
              <w:rPr>
                <w:rFonts w:ascii="Arial" w:hAnsi="Arial" w:cs="Arial" w:eastAsia="Arial"/>
                <w:color w:val="000000"/>
                <w:spacing w:val="0"/>
                <w:position w:val="0"/>
                <w:sz w:val="14"/>
                <w:shd w:fill="auto" w:val="clear"/>
              </w:rPr>
              <w:t xml:space="preserve">120-51-4</w:t>
            </w:r>
          </w:p>
        </w:tc>
        <w:tc>
          <w:tcPr>
            <w:tcW w:w="779"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204-402-9</w:t>
            </w:r>
          </w:p>
        </w:tc>
        <w:tc>
          <w:tcPr>
            <w:tcW w:w="2998"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Acute Tox. 4, Aquatic Acute 1, Aquatic Chronic 2 - H302, H400, H411</w:t>
            </w:r>
          </w:p>
        </w:tc>
        <w:tc>
          <w:tcPr>
            <w:tcW w:w="1318" w:type="dxa"/>
            <w:tcBorders>
              <w:top w:val="single" w:color="c0c0c0" w:sz="2"/>
              <w:left w:val="single" w:color="c0c0c0" w:sz="4"/>
              <w:bottom w:val="single" w:color="c0c0c0" w:sz="2"/>
              <w:right w:val="single" w:color="c0c0c0" w:sz="2"/>
            </w:tcBorders>
            <w:shd w:color="000000" w:fill="ffffff" w:val="clear"/>
            <w:tcMar>
              <w:left w:w="64" w:type="dxa"/>
              <w:right w:w="64"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7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64" w:type="dxa"/>
              <w:right w:w="64" w:type="dxa"/>
            </w:tcMar>
            <w:vAlign w:val="top"/>
          </w:tcPr>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chromen-2-one (coumarin)   (No REACH : 01-2119943756-26-XXXX)</w:t>
            </w:r>
          </w:p>
        </w:tc>
        <w:tc>
          <w:tcPr>
            <w:tcW w:w="991"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center"/>
          </w:tcPr>
          <w:p>
            <w:pPr>
              <w:spacing w:before="0" w:after="0" w:line="259"/>
              <w:ind w:right="0" w:left="20" w:firstLine="0"/>
              <w:jc w:val="center"/>
              <w:rPr>
                <w:spacing w:val="0"/>
                <w:position w:val="0"/>
                <w:shd w:fill="auto" w:val="clear"/>
              </w:rPr>
            </w:pPr>
            <w:r>
              <w:rPr>
                <w:rFonts w:ascii="Arial" w:hAnsi="Arial" w:cs="Arial" w:eastAsia="Arial"/>
                <w:color w:val="000000"/>
                <w:spacing w:val="0"/>
                <w:position w:val="0"/>
                <w:sz w:val="14"/>
                <w:shd w:fill="auto" w:val="clear"/>
              </w:rPr>
              <w:t xml:space="preserve">91-64-5</w:t>
            </w:r>
          </w:p>
        </w:tc>
        <w:tc>
          <w:tcPr>
            <w:tcW w:w="779"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202-086-7</w:t>
            </w:r>
          </w:p>
        </w:tc>
        <w:tc>
          <w:tcPr>
            <w:tcW w:w="2998"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Acute Tox. 4, Skin Sens. 1B - H302, H317</w:t>
            </w:r>
          </w:p>
        </w:tc>
        <w:tc>
          <w:tcPr>
            <w:tcW w:w="1318" w:type="dxa"/>
            <w:tcBorders>
              <w:top w:val="single" w:color="c0c0c0" w:sz="2"/>
              <w:left w:val="single" w:color="c0c0c0" w:sz="4"/>
              <w:bottom w:val="single" w:color="c0c0c0" w:sz="2"/>
              <w:right w:val="single" w:color="c0c0c0" w:sz="2"/>
            </w:tcBorders>
            <w:shd w:color="000000" w:fill="ffffff" w:val="clear"/>
            <w:tcMar>
              <w:left w:w="64" w:type="dxa"/>
              <w:right w:w="64"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bl>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919"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6" w:line="425"/>
        <w:ind w:right="3998"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w:t>
      </w:r>
    </w:p>
    <w:p>
      <w:pPr>
        <w:spacing w:before="0" w:after="766" w:line="265"/>
        <w:ind w:right="259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Traitement spécifique: premier secours, traitement des symptômes. 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89"/>
        </w:numPr>
        <w:spacing w:before="0" w:after="3" w:line="265"/>
        <w:ind w:right="313"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89"/>
        </w:numPr>
        <w:spacing w:before="0" w:after="3" w:line="265"/>
        <w:ind w:right="313"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2"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153"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20"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100"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15" w:line="265"/>
        <w:ind w:right="700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19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889"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80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15" w:line="265"/>
        <w:ind w:right="3901"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19"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8" w:line="265"/>
        <w:ind w:right="225"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540" w:line="427"/>
        <w:ind w:right="6325"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 Pas de données à ce jour.</w:t>
      </w:r>
    </w:p>
    <w:p>
      <w:pPr>
        <w:spacing w:before="0" w:after="139"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3" w:line="265"/>
        <w:ind w:right="225"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225"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225"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842"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3" w:line="265"/>
        <w:ind w:right="225"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3" w:line="265"/>
        <w:ind w:right="225"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225"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3" w:line="265"/>
        <w:ind w:right="225"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3" w:line="265"/>
        <w:ind w:right="2251"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6072"/>
      </w:tblGrid>
      <w:tr>
        <w:trPr>
          <w:trHeight w:val="61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Couleur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Solide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Odeur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Caractéristique</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de fusion/point de congélation (@1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Inflammabilité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Limites inférieure et supérieure d’explosion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&gt;100°</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pH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Solubilité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r>
      <w:tr>
        <w:trPr>
          <w:trHeight w:val="88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et/ou densité relative (@20° C-1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1274"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91"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Caractéristiques des particules :</w:t>
            </w:r>
          </w:p>
          <w:p>
            <w:pPr>
              <w:spacing w:before="0" w:after="163" w:line="259"/>
              <w:ind w:right="0" w:left="737"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Indice de réfraction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(liquide)</w:t>
            </w:r>
          </w:p>
        </w:tc>
      </w:tr>
      <w:tr>
        <w:trPr>
          <w:trHeight w:val="49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Conditions de stockage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tc>
      </w:tr>
    </w:tbl>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10: STABILITE ET REACTIVITE</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80" w:line="265"/>
        <w:ind w:right="118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3"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2" w:line="265"/>
        <w:ind w:right="5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542" w:line="427"/>
        <w:ind w:right="5998"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37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41"/>
        <w:ind w:right="68"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Matière non classée (mg/kg)</w:t>
      </w:r>
    </w:p>
    <w:p>
      <w:pPr>
        <w:spacing w:before="0" w:after="193" w:line="265"/>
        <w:ind w:right="415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06"/>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cutanéevoir section 2</w:t>
      </w:r>
    </w:p>
    <w:p>
      <w:pPr>
        <w:numPr>
          <w:ilvl w:val="0"/>
          <w:numId w:val="206"/>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206"/>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206"/>
        </w:numPr>
        <w:spacing w:before="0" w:after="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206"/>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206"/>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206"/>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06"/>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206"/>
        </w:numPr>
        <w:spacing w:before="0" w:after="915"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11"/>
        </w:numPr>
        <w:spacing w:before="0" w:after="193" w:line="265"/>
        <w:ind w:right="5987"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11"/>
        </w:numPr>
        <w:spacing w:before="0" w:after="730" w:line="265"/>
        <w:ind w:right="5987"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701"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540" w:line="427"/>
        <w:ind w:right="5836"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542" w:line="427"/>
        <w:ind w:right="5747"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 Pas de données à ce jour.</w:t>
      </w:r>
    </w:p>
    <w:p>
      <w:pPr>
        <w:spacing w:before="0" w:after="3" w:line="427"/>
        <w:ind w:right="660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540" w:line="427"/>
        <w:ind w:right="484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542" w:line="427"/>
        <w:ind w:right="433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612" w:line="427"/>
        <w:ind w:right="637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12.7. Autres effets néfastes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13: CONSIDERATIONS RELATIVES A L'ELIMINATION</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64"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2"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1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81"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4"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4"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2"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678"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3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2679"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H302</w:t>
        <w:tab/>
        <w:t xml:space="preserve">Nocif en cas d'ingestion.</w:t>
      </w:r>
    </w:p>
    <w:p>
      <w:pPr>
        <w:tabs>
          <w:tab w:val="center" w:pos="318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31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H319</w:t>
        <w:tab/>
        <w:t xml:space="preserve">Provoque une sévère irritation des yeux.</w:t>
      </w:r>
    </w:p>
    <w:p>
      <w:pPr>
        <w:tabs>
          <w:tab w:val="center" w:pos="3528"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H400</w:t>
        <w:tab/>
        <w:t xml:space="preserve">Très toxique pour les organismes aquatiques.</w:t>
      </w:r>
    </w:p>
    <w:p>
      <w:pPr>
        <w:tabs>
          <w:tab w:val="center" w:pos="5043" w:leader="none"/>
        </w:tabs>
        <w:spacing w:before="0" w:after="10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H411</w:t>
        <w:tab/>
        <w:t xml:space="preserve">Toxique pour les organismes aquatiques, entraîne des effets néfastes à long terme.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89">
    <w:abstractNumId w:val="12"/>
  </w:num>
  <w:num w:numId="206">
    <w:abstractNumId w:val="6"/>
  </w:num>
  <w:num w:numId="2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