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7"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539"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Révision : 001NEW-1-CLP du 15/02/2022</w:t>
      </w:r>
    </w:p>
    <w:p>
      <w:pPr>
        <w:keepNext w:val="true"/>
        <w:keepLines w:val="true"/>
        <w:spacing w:before="0" w:after="136" w:line="259"/>
        <w:ind w:right="3"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Invictus Inspiré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Invincible 10%</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14" w:left="-5" w:hanging="10"/>
        <w:jc w:val="both"/>
        <w:rPr>
          <w:rFonts w:ascii="Arial" w:hAnsi="Arial" w:cs="Arial" w:eastAsia="Arial"/>
          <w:color w:val="000000"/>
          <w:spacing w:val="0"/>
          <w:position w:val="0"/>
          <w:sz w:val="20"/>
          <w:shd w:fill="auto" w:val="clear"/>
        </w:rPr>
      </w:pPr>
    </w:p>
    <w:p>
      <w:pPr>
        <w:spacing w:before="0" w:after="152"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7"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benzyl 2-hydroxybenzoate (benzyl salicylate), chromen-2-one (coumarin), (4R)-1-methyl-4-prop-1-en-2ylcyclohexene (dextro-limonene), 1,1,2,3,3-pentamethyl-2,5,6,7-tetrahydroinden-4-one (cashmeran), (6E)-3,7-dimethylnona1,6-dien-3-ol (ethyl linalool), 3,7-dimethylocta-1,6-dien-3-yl acetate (linalyl acetate), 3,7-dimethylocta-1,6-dien-3-ol (linalool), reaction mass of 1-(1,2,3,4,5,6,7,8 and 1-(1,2,3,4,6,7,8,8a and 1-(1,2,3,5,6,7,8,8a-octahydro-2,3,8,8-tetramethyl-2-naphthyl) ethan-1-one (iso e super).  Peut produire une réaction allergique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benzyl 2-hydroxybenzoate (benzyl salicylate), chromen-2-one (coumarin), (4R)-1-methyl-4-prop-1en-2-ylcyclohexene (dextro-limonene), 1,1,2,3,3-pentamethyl-2,5,6,7-tetrahydroinden-4-one (cashmeran), (6E)-3,7dimethylnona-1,6-dien-3-ol (ethyl linalool), 3,7-dimethylocta-1,6-dien-3-yl acetate (linalyl acetate), 3,7-dimethylocta1,6-dien-3-ol (linalool), reaction mass of 1-(1,2,3,4,5,6,7,8 and 1-(1,2,3,4,6,7,8,8a and 1-(1,2,3,5,6,7,8,8a-octahydro2,3,8,8-tetramethyl-2-naphthyl)ethan-1-one (iso e super).  Peut produire une réaction allergique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53" w:type="dxa"/>
              <w:right w:w="53" w:type="dxa"/>
            </w:tcMar>
            <w:vAlign w:val="top"/>
          </w:tcPr>
          <w:p>
            <w:pPr>
              <w:spacing w:before="0" w:after="0" w:line="259"/>
              <w:ind w:right="0" w:left="29"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3" w:type="dxa"/>
              <w:right w:w="53" w:type="dxa"/>
            </w:tcMar>
            <w:vAlign w:val="top"/>
          </w:tcPr>
          <w:p>
            <w:pPr>
              <w:spacing w:before="0" w:after="0" w:line="259"/>
              <w:ind w:right="0" w:left="33"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3" w:type="dxa"/>
              <w:right w:w="53"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53" w:type="dxa"/>
              <w:right w:w="53" w:type="dxa"/>
            </w:tcMar>
            <w:vAlign w:val="top"/>
          </w:tcPr>
          <w:p>
            <w:pPr>
              <w:spacing w:before="0" w:after="0" w:line="259"/>
              <w:ind w:right="0" w:left="36"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3" w:type="dxa"/>
              <w:right w:w="53"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47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(3E)-oxacyclohexadec-3-en-2-one (globalide</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100)   (No REACH : 01-0000016883-62-0000)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88" w:firstLine="0"/>
              <w:jc w:val="left"/>
              <w:rPr>
                <w:spacing w:val="0"/>
                <w:position w:val="0"/>
                <w:shd w:fill="auto" w:val="clear"/>
              </w:rPr>
            </w:pPr>
            <w:r>
              <w:rPr>
                <w:rFonts w:ascii="Arial" w:hAnsi="Arial" w:cs="Arial" w:eastAsia="Arial"/>
                <w:color w:val="000000"/>
                <w:spacing w:val="0"/>
                <w:position w:val="0"/>
                <w:sz w:val="14"/>
                <w:shd w:fill="auto" w:val="clear"/>
              </w:rPr>
              <w:t xml:space="preserve">34902-57-3</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422-320-3</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838"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center"/>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(4R)-1-methyl-4-prop-1-en-2-ylcyclohexene (dextro-limonene)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01-2119529223-47-XXXX)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5989-27-5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227-813-5</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Asp. Tox. 1, Eye Irrit. 2, Aquatic Acute 1,</w:t>
            </w:r>
          </w:p>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Chronic 3, Flam. Liq. 3, Skin</w:t>
            </w:r>
          </w:p>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Irrit. 2, Skin Sens. 1 - H226, H304,</w:t>
            </w:r>
          </w:p>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H315, H317, H319, H400, H412</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(6E)-3,7-dimethylnona-1,6-dien-3-ol (ethyl linalool)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01-2119969272-32-XXXX)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10339-55-6</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233-732-6</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7"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1,1,2,3,3-pentamethyl-2,5,6,7-tetrahydroinden4-one (cashmeran)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01-2119977131-40-0000)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33704-61-9</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251-649-3</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Eye Irrit. 2, Aquatic Chronic 2, Skin Irrit.</w:t>
            </w:r>
          </w:p>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2, Skin Sens. 1B - H315, H317, H319, H411</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115-95-7</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9" w:firstLine="0"/>
              <w:jc w:val="left"/>
              <w:rPr>
                <w:spacing w:val="0"/>
                <w:position w:val="0"/>
                <w:shd w:fill="auto" w:val="clear"/>
              </w:rPr>
            </w:pPr>
            <w:r>
              <w:rPr>
                <w:rFonts w:ascii="Arial" w:hAnsi="Arial" w:cs="Arial" w:eastAsia="Arial"/>
                <w:color w:val="000000"/>
                <w:spacing w:val="0"/>
                <w:position w:val="0"/>
                <w:sz w:val="14"/>
                <w:shd w:fill="auto" w:val="clear"/>
              </w:rPr>
              <w:t xml:space="preserve">204-116-4</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3-(1,3-benzodioxol-5-yl)-2-methylpropanal (helional) (Repr. 2)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01-2120740119-58-0000)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1205-17-0</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214-881-6</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Chronic 2, Repr. 2, Skin Sens. 1B - H317, H361, H411</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benzyl 2-hydroxybenzoate (benzyl salicylate) (No REACH : 01-2119969442-31-XXXX)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118-58-1</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204-262-9</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3, Skin Sens. 1B - H317, H319, H412</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chromen-2-one (coumarin)   (No REACH : 01-2119943756-26-XXXX)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91-64-5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202-086-7</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Acute Tox. 4, Skin Sens. 1B - H302, H317</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5" w:hRule="auto"/>
          <w:jc w:val="left"/>
        </w:trPr>
        <w:tc>
          <w:tcPr>
            <w:tcW w:w="3510" w:type="dxa"/>
            <w:tcBorders>
              <w:top w:val="single" w:color="c0c0c0" w:sz="2"/>
              <w:left w:val="single" w:color="c0c0c0" w:sz="2"/>
              <w:bottom w:val="single" w:color="c0c0c0" w:sz="3"/>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1"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79"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8"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67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2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5"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49"/>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49"/>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100"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0" w:line="265"/>
        <w:ind w:right="668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47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575"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w:t>
      </w:r>
    </w:p>
    <w:p>
      <w:pPr>
        <w:spacing w:before="0" w:after="69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139"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17"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84" w:line="265"/>
        <w:ind w:right="19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1528"/>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27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Viscosité cinématique (mm²/s)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bl>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3152"/>
        <w:gridCol w:w="3463"/>
        <w:gridCol w:w="3025"/>
      </w:tblGrid>
      <w:tr>
        <w:trPr>
          <w:trHeight w:val="524" w:hRule="auto"/>
          <w:jc w:val="left"/>
        </w:trPr>
        <w:tc>
          <w:tcPr>
            <w:tcW w:w="9640" w:type="dxa"/>
            <w:gridSpan w:val="3"/>
            <w:tcBorders>
              <w:top w:val="single" w:color="7f7f7f" w:sz="2"/>
              <w:left w:val="single" w:color="7f7f7f" w:sz="2"/>
              <w:bottom w:val="single" w:color="7f7f7f" w:sz="2"/>
              <w:right w:val="single" w:color="7f7f7f" w:sz="2"/>
            </w:tcBorders>
            <w:shd w:color="auto" w:fill="e0e0e0" w:val="clear"/>
            <w:tcMar>
              <w:left w:w="0" w:type="dxa"/>
              <w:right w:w="0" w:type="dxa"/>
            </w:tcMar>
            <w:vAlign w:val="top"/>
          </w:tcPr>
          <w:p>
            <w:pPr>
              <w:spacing w:before="0" w:after="0" w:line="259"/>
              <w:ind w:right="0" w:left="3"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412" w:hRule="auto"/>
          <w:jc w:val="left"/>
        </w:trPr>
        <w:tc>
          <w:tcPr>
            <w:tcW w:w="3152" w:type="dxa"/>
            <w:tcBorders>
              <w:top w:val="single" w:color="7f7f7f" w:sz="2"/>
              <w:left w:val="single" w:color="000000" w:sz="0"/>
              <w:bottom w:val="single" w:color="000000" w:sz="0"/>
              <w:right w:val="single" w:color="000000" w:sz="0"/>
            </w:tcBorders>
            <w:shd w:color="000000" w:fill="ffffff" w:val="clear"/>
            <w:tcMar>
              <w:left w:w="0" w:type="dxa"/>
              <w:right w:w="0" w:type="dxa"/>
            </w:tcMar>
            <w:vAlign w:val="center"/>
          </w:tcPr>
          <w:p>
            <w:pPr>
              <w:tabs>
                <w:tab w:val="center" w:pos="1834" w:leader="none"/>
              </w:tabs>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Édité le :</w:t>
              <w:tab/>
              <w:t xml:space="preserve">15/02/2022</w:t>
            </w:r>
          </w:p>
        </w:tc>
        <w:tc>
          <w:tcPr>
            <w:tcW w:w="3463" w:type="dxa"/>
            <w:tcBorders>
              <w:top w:val="single" w:color="7f7f7f" w:sz="2"/>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33" w:firstLine="0"/>
              <w:jc w:val="left"/>
              <w:rPr>
                <w:spacing w:val="0"/>
                <w:position w:val="0"/>
                <w:shd w:fill="auto" w:val="clear"/>
              </w:rPr>
            </w:pPr>
            <w:r>
              <w:rPr>
                <w:rFonts w:ascii="Arial" w:hAnsi="Arial" w:cs="Arial" w:eastAsia="Arial"/>
                <w:color w:val="000000"/>
                <w:spacing w:val="0"/>
                <w:position w:val="0"/>
                <w:sz w:val="16"/>
                <w:shd w:fill="auto" w:val="clear"/>
              </w:rPr>
              <w:t xml:space="preserve">Invictus inspiré 10%</w:t>
            </w:r>
          </w:p>
        </w:tc>
        <w:tc>
          <w:tcPr>
            <w:tcW w:w="3025" w:type="dxa"/>
            <w:tcBorders>
              <w:top w:val="single" w:color="7f7f7f" w:sz="2"/>
              <w:left w:val="single" w:color="000000" w:sz="0"/>
              <w:bottom w:val="single" w:color="000000" w:sz="0"/>
              <w:right w:val="single" w:color="000000" w:sz="0"/>
            </w:tcBorders>
            <w:shd w:color="000000" w:fill="ffffff" w:val="clear"/>
            <w:tcMar>
              <w:left w:w="0" w:type="dxa"/>
              <w:right w:w="0" w:type="dxa"/>
            </w:tcMar>
            <w:vAlign w:val="center"/>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15/02/2022</w:t>
            </w:r>
          </w:p>
        </w:tc>
      </w:tr>
      <w:tr>
        <w:trPr>
          <w:trHeight w:val="89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Solubilité (@20°C)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5"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Pression de vapeur (mmHg @20°C)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887"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20" w:line="240"/>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Densité et/ou densité relative (@20° C-1 atm.)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427"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Caractéristiques des particules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439" w:hRule="auto"/>
          <w:jc w:val="left"/>
        </w:trPr>
        <w:tc>
          <w:tcPr>
            <w:tcW w:w="3152" w:type="dxa"/>
            <w:tcBorders>
              <w:top w:val="single" w:color="000000" w:sz="0"/>
              <w:left w:val="single" w:color="000000" w:sz="0"/>
              <w:bottom w:val="single" w:color="7f7f7f" w:sz="2"/>
              <w:right w:val="single" w:color="000000" w:sz="0"/>
            </w:tcBorders>
            <w:shd w:color="000000" w:fill="ffffff" w:val="clear"/>
            <w:tcMar>
              <w:left w:w="0" w:type="dxa"/>
              <w:right w:w="0" w:type="dxa"/>
            </w:tcMar>
            <w:vAlign w:val="top"/>
          </w:tcPr>
          <w:p>
            <w:pPr>
              <w:spacing w:before="0" w:after="163"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99"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Indice de réfraction (@20°C)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3463" w:type="dxa"/>
            <w:tcBorders>
              <w:top w:val="single" w:color="000000" w:sz="0"/>
              <w:left w:val="single" w:color="000000" w:sz="0"/>
              <w:bottom w:val="single" w:color="7f7f7f" w:sz="2"/>
              <w:right w:val="single" w:color="000000" w:sz="0"/>
            </w:tcBorders>
            <w:shd w:color="000000" w:fill="ffffff" w:val="clear"/>
            <w:tcMar>
              <w:left w:w="0" w:type="dxa"/>
              <w:right w:w="0" w:type="dxa"/>
            </w:tcMar>
            <w:vAlign w:val="bottom"/>
          </w:tcPr>
          <w:p>
            <w:pPr>
              <w:spacing w:before="0" w:after="0" w:line="259"/>
              <w:ind w:right="-2557"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c>
          <w:tcPr>
            <w:tcW w:w="3025" w:type="dxa"/>
            <w:tcBorders>
              <w:top w:val="single" w:color="000000" w:sz="0"/>
              <w:left w:val="single" w:color="000000" w:sz="0"/>
              <w:bottom w:val="single" w:color="7f7f7f" w:sz="2"/>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9640" w:type="dxa"/>
            <w:gridSpan w:val="3"/>
            <w:tcBorders>
              <w:top w:val="single" w:color="7f7f7f" w:sz="2"/>
              <w:left w:val="single" w:color="7f7f7f" w:sz="2"/>
              <w:bottom w:val="single" w:color="7f7f7f" w:sz="2"/>
              <w:right w:val="single" w:color="7f7f7f" w:sz="2"/>
            </w:tcBorders>
            <w:shd w:color="auto" w:fill="e0e0e0" w:val="clear"/>
            <w:tcMar>
              <w:left w:w="0" w:type="dxa"/>
              <w:right w:w="0"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10: STABILITE ET REACTIVITE</w:t>
            </w:r>
          </w:p>
        </w:tc>
      </w:tr>
    </w:tbl>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69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118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3" w:line="425"/>
        <w:ind w:right="5998"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3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39"/>
        <w:ind w:right="1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415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93"/>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93"/>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93"/>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93"/>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93"/>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93"/>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93"/>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93"/>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93"/>
        </w:numPr>
        <w:spacing w:before="0" w:after="922"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96"/>
        </w:numPr>
        <w:spacing w:before="0" w:after="19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96"/>
        </w:numPr>
        <w:spacing w:before="0" w:after="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1"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2" w:line="427"/>
        <w:ind w:right="583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0" w:line="427"/>
        <w:ind w:right="574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660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484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5" w:line="425"/>
        <w:ind w:right="433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612" w:line="427"/>
        <w:ind w:right="637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12.7. Autres effets néfastes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13: CONSIDERATIONS RELATIVES A L'ELIMINATION</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5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1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7"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7"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w:t>
      </w:r>
    </w:p>
    <w:p>
      <w:pPr>
        <w:spacing w:before="0" w:after="8"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IATA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4"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2"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9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302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H226</w:t>
        <w:tab/>
        <w:t xml:space="preserve">Liquide et vapeurs inflammables.</w:t>
      </w:r>
    </w:p>
    <w:p>
      <w:pPr>
        <w:tabs>
          <w:tab w:val="center" w:pos="2679"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494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H304</w:t>
        <w:tab/>
        <w:t xml:space="preserve">Peut être mortel en cas d'ingestion et de pénétration dans les voies respiratoires.</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spacing w:before="0" w:after="87" w:line="265"/>
        <w:ind w:right="0" w:left="1684" w:hanging="1699"/>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H361</w:t>
        <w:tab/>
        <w:t xml:space="preserve">Susceptible de nuire à la fertilité ou au f</w:t>
      </w:r>
      <w:r>
        <w:rPr>
          <w:rFonts w:ascii="Arial" w:hAnsi="Arial" w:cs="Arial" w:eastAsia="Arial"/>
          <w:color w:val="000000"/>
          <w:spacing w:val="0"/>
          <w:position w:val="0"/>
          <w:sz w:val="18"/>
          <w:shd w:fill="auto" w:val="clear"/>
        </w:rPr>
        <w:t xml:space="preserve">œtus &lt;indiquer l'effet s'il est connu&gt; &lt;indiquer la voie d'exposition s'il est formellement prouv</w:t>
      </w:r>
      <w:r>
        <w:rPr>
          <w:rFonts w:ascii="Arial" w:hAnsi="Arial" w:cs="Arial" w:eastAsia="Arial"/>
          <w:color w:val="000000"/>
          <w:spacing w:val="0"/>
          <w:position w:val="0"/>
          <w:sz w:val="18"/>
          <w:shd w:fill="auto" w:val="clear"/>
        </w:rPr>
        <w:t xml:space="preserve">é qu'aucune autre voie d'exposition ne conduit au même danger&gt;.</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tabs>
          <w:tab w:val="center" w:pos="4940" w:leader="none"/>
        </w:tabs>
        <w:spacing w:before="0" w:after="10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49">
    <w:abstractNumId w:val="12"/>
  </w:num>
  <w:num w:numId="293">
    <w:abstractNumId w:val="6"/>
  </w:num>
  <w:num w:numId="29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