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E36C0A"/>
          <w:spacing w:val="-10"/>
          <w:position w:val="0"/>
          <w:sz w:val="44"/>
          <w:shd w:fill="auto" w:val="clear"/>
        </w:rPr>
      </w:pPr>
      <w:r>
        <w:rPr>
          <w:rFonts w:ascii="Calibri" w:hAnsi="Calibri" w:cs="Calibri" w:eastAsia="Calibri"/>
          <w:b/>
          <w:color w:val="E36C0A"/>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0" style="width:30.700000pt;height:2.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rose éternelle 10%.</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1" style="width:30.700000pt;height:2.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2" style="width:30.700000pt;height:2.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Nom</w:t>
            </w:r>
            <w:r>
              <w:rPr>
                <w:rFonts w:ascii="Calibri" w:hAnsi="Calibri" w:cs="Calibri" w:eastAsia="Calibri"/>
                <w:color w:val="326496"/>
                <w:spacing w:val="0"/>
                <w:position w:val="0"/>
                <w:sz w:val="20"/>
                <w:shd w:fill="auto" w:val="clear"/>
              </w:rPr>
              <w:t xml:space="preserve">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Rue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Code postal/Ville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Pays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Téléphone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Email</w:t>
            </w:r>
            <w:r>
              <w:rPr>
                <w:rFonts w:ascii="Calibri" w:hAnsi="Calibri" w:cs="Calibri" w:eastAsia="Calibri"/>
                <w:color w:val="326496"/>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3" style="width:30.700000pt;height:2.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France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4" style="width:30.700000pt;height:2.8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5" style="width:30.700000pt;height:2.8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E36C0A"/>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Contient benzyl salicylate, linalool, citronellol, linalyl acetate, </w:t>
            </w:r>
            <w:r>
              <w:rPr>
                <w:rFonts w:ascii="Calibri" w:hAnsi="Calibri" w:cs="Calibri" w:eastAsia="Calibri"/>
                <w:color w:val="326496"/>
                <w:spacing w:val="0"/>
                <w:position w:val="0"/>
                <w:sz w:val="20"/>
                <w:shd w:fill="auto" w:val="clear"/>
              </w:rPr>
              <w:t xml:space="preserve">α-hexylcinnamaldehyde, 3-(p-methoxyphenyl)-2-methylpropionaldehyde, 3,7-dimethylnona-1,6-dien-3-ol, coumarin, (E)-1-(2,6,6-trimethyl-1,3-cyclohexadien-1-yl)-2-buten-1-one, 4-hydroxy-2,5-dimethylfuran-2(3H)-one, 1,2,3,5,6,7-hexahydro-1,1,2,3,3-pentamethyl-4H-inden-4-one. Peut produire une r</w:t>
            </w:r>
            <w:r>
              <w:rPr>
                <w:rFonts w:ascii="Calibri" w:hAnsi="Calibri" w:cs="Calibri" w:eastAsia="Calibri"/>
                <w:color w:val="326496"/>
                <w:spacing w:val="0"/>
                <w:position w:val="0"/>
                <w:sz w:val="20"/>
                <w:shd w:fill="auto" w:val="clear"/>
              </w:rPr>
              <w:t xml:space="preserve">éaction allergique.</w:t>
            </w: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6" style="width:30.700000pt;height:2.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[Ionone, methyl-, CAS: 1335-46-2, EC: 215-635-0] est/sont évalué(s) comme PBT ou vPvB.</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7" style="width:30.700000pt;height:2.8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326496"/>
            <w:spacing w:val="0"/>
            <w:position w:val="0"/>
            <w:sz w:val="20"/>
            <w:u w:val="single"/>
            <w:shd w:fill="auto" w:val="clear"/>
          </w:rPr>
          <w:t xml:space="preserve">http://echa.europa.eu/fr/candidate-list-table</w:t>
        </w:r>
      </w:hyperlink>
      <w:r>
        <w:rPr>
          <w:rFonts w:ascii="Calibri" w:hAnsi="Calibri" w:cs="Calibri" w:eastAsia="Calibri"/>
          <w:color w:val="326496"/>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benzyl salicylate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118-58-1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0.34%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204-262-9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607-754-00-5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01-2119969442-31-XXXX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linalyl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115-95-7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0.298%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204-116-4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01-2119454789-19-XXXX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0.288%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α-hexylcinnamaldehyde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101-86-0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0.2769999999%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202-983-3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citronellol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106-22-9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0.128%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203-375-0</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01-2119453995-23-XXXX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3-(p-methoxyphenyl)-2-methylpropionaldehyde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5462-06-6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0.128%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H317     Skin Sens. 1B</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226-749-5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01-2120629103-67-XXXX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3,7-dimethylnona-1,6-dien-3-ol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10339-55-6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0.128%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233-732-6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01-2119969272-32-XXXX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1,2,3,5,6,7-hexahydro-1,1,2,3,3-pentamethyl-4H-inden-4-one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33704-61-9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0.106%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251-649-3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01-2119977131-40-XXXX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coumarin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91-64-5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0.106%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202-086-7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01-2119949300-45-XXXX,01-2119943756-26-XXXX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Ionone, methyl-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1335-46-2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0.033%</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215-635-0</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01-2119471851-35-XXXX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4-hydroxy-2,5-dimethylfuran-2(3H)-one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3658-77-3</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0.016%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H314     Skin Corr. 1B</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1A</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H318     Eye Dam.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222-908-8</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01-2120754473-52-XXXX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(E)-1-(2,6,6-trimethyl-1,3-cyclohexadien-1-yl)-2-buten-1-one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23726-93-4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326496"/>
                <w:spacing w:val="0"/>
                <w:position w:val="0"/>
                <w:sz w:val="20"/>
                <w:shd w:fill="auto" w:val="clear"/>
              </w:rPr>
              <w:t xml:space="preserve">C</w:t>
            </w:r>
            <w:r>
              <w:rPr>
                <w:rFonts w:ascii="Cambria Math" w:hAnsi="Cambria Math" w:cs="Cambria Math" w:eastAsia="Cambria Math"/>
                <w:color w:val="326496"/>
                <w:spacing w:val="0"/>
                <w:position w:val="0"/>
                <w:sz w:val="20"/>
                <w:shd w:fill="auto" w:val="clear"/>
              </w:rPr>
              <w:t xml:space="preserve">≤</w:t>
            </w:r>
            <w:r>
              <w:rPr>
                <w:rFonts w:ascii="Calibri" w:hAnsi="Calibri" w:cs="Calibri" w:eastAsia="Calibri"/>
                <w:color w:val="326496"/>
                <w:spacing w:val="0"/>
                <w:position w:val="0"/>
                <w:sz w:val="20"/>
                <w:shd w:fill="auto" w:val="clear"/>
              </w:rPr>
              <w:t xml:space="preserve"> 0.011%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1A</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245-844-2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01-2120105798-49-XXXX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8" style="width:30.700000pt;height:2.8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9" style="width:30.700000pt;height:2.8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0" style="width:30.700000pt;height:2.85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1" style="width:30.700000pt;height:2.85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2" style="width:30.700000pt;height:2.85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Mousse.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3" style="width:30.700000pt;height:2.85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4" style="width:30.700000pt;height:2.85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5" style="width:30.700000pt;height:2.85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à prendre en cas de dispersion accidentelle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6" style="width:30.700000pt;height:2.85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7" style="width:30.700000pt;height:2.85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8" style="width:30.700000pt;height:2.85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9" style="width:30.700000pt;height:2.85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0" style="width:30.700000pt;height:2.85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1" style="width:30.700000pt;height:2.85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2" style="width:30.700000pt;height:2.85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Maintenir le récipient en position verticale afin d'éviter les fuites.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Tenir à l'écart de produits alimentaires, de boissons et de nourriture pour animaux.</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Informations complémentaires sur les conditions de stockage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Stocker à température ambiante et à l'écart de toute source de chaleur.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3" style="width:30.700000pt;height:2.85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4" style="width:30.700000pt;height:2.85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5" style="width:30.700000pt;height:2.85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oculaire appropriée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des mains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du corps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Appareil de protection respiratoire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6" style="width:30.700000pt;height:2.85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7" style="width:30.700000pt;height:2.85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Florale - Poudrée - Vanillée - Boisée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Soluble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8" style="width:30.700000pt;height:2.85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9" style="width:30.700000pt;height:2.85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0" style="width:30.700000pt;height:2.85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1" style="width:30.700000pt;height:2.85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2" style="width:30.700000pt;height:2.85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3" style="width:30.700000pt;height:2.85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4" style="width:30.700000pt;height:2.85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5" style="width:30.700000pt;height:2.85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6" style="width:30.700000pt;height:2.85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orale aiguë</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voie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inhalation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Corrosion/irritation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Lésions oculaires graves/irritation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 la peau</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répétée)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ponctuelle)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Cancérogenicité</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pour la reproduction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Mutagénicité des cellules germinales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des voies respiratoires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Informations complémentaires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7" style="width:30.700000pt;height:2.85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8" style="width:30.700000pt;height:2.85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9" style="width:30.700000pt;height:2.85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0" style="width:30.700000pt;height:2.85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1" style="width:30.700000pt;height:2.85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2" style="width:30.700000pt;height:2.85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[Ionone, methyl-, CAS: 1335-46-2, EC: 215-635-0] est/sont évalué(s)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3" style="width:30.700000pt;height:2.85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4" style="width:30.700000pt;height:2.85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5" style="width:30.700000pt;height:2.85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6" style="width:30.700000pt;height:2.85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7" style="width:30.700000pt;height:2.85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8" style="width:30.700000pt;height:2.85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9" style="width:30.700000pt;height:2.85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0" style="width:30.700000pt;height:2.85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1" style="width:30.700000pt;height:2.85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2" style="width:30.700000pt;height:2.85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3" style="width:30.700000pt;height:2.85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4" style="width:30.700000pt;height:2.85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5" style="width:30.700000pt;height:2.85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6" style="width:30.700000pt;height:2.85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2D5A87"/>
          <w:spacing w:val="0"/>
          <w:position w:val="0"/>
          <w:sz w:val="20"/>
          <w:shd w:fill="auto" w:val="clear"/>
        </w:rPr>
        <w:t xml:space="preserve">CLP: Harmonised classification and labelling of hazardous substances (Annex VI, table 3.1)_ATP 17</w:t>
      </w:r>
      <w:r>
        <w:rPr>
          <w:rFonts w:ascii="Calibri" w:hAnsi="Calibri" w:cs="Calibri" w:eastAsia="Calibri"/>
          <w:color w:val="326496"/>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CAS</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EC</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benzyl salicylate</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118-58-1</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204-262-9</w: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2D5A87"/>
          <w:spacing w:val="0"/>
          <w:position w:val="0"/>
          <w:sz w:val="20"/>
          <w:shd w:fill="auto" w:val="clear"/>
        </w:rPr>
        <w:t xml:space="preserve">Directive n°648/2004 (Allergenic fragrance ingredients N°1223/2009)</w:t>
      </w:r>
      <w:r>
        <w:rPr>
          <w:rFonts w:ascii="Calibri" w:hAnsi="Calibri" w:cs="Calibri" w:eastAsia="Calibri"/>
          <w:color w:val="326496"/>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CAS</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EC</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benzyl salicylate</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118-58-1</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204-262-9</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linalool</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78-70-6</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201-134-4</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α-hexylcinnamaldehyde</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101-86-0</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202-983-3</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citronellol</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106-22-9</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203-375-0</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coumarin</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91-64-5</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202-086-7</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7" style="width:30.700000pt;height:2.85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8" style="width:30.700000pt;height:2.85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9" style="width:30.700000pt;height:2.85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0" style="width:30.700000pt;height:2.85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1" style="width:30.700000pt;height:2.85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2" style="width:30.700000pt;height:2.85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Conforme à l'ATP 18, règlement (UE) n°2022/692.</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classification du mélange est conforme à la méthode d'évaluation décrite dans le règlement (CE) n°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3" style="width:30.700000pt;height:2.85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H314</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Corr.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des brûlures de la peau et des lésions oculaires graves.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H318</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Eye Dam.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de graves lésions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4" style="width:30.700000pt;height:2.85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5" style="width:30.700000pt;height:2.85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création : 05/09/2023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version : 05/09/2023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d'impression : 05/09/2023</w:t>
      </w:r>
    </w:p>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326496"/>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embeddings/oleObject56.bin" Id="docRId113" Type="http://schemas.openxmlformats.org/officeDocument/2006/relationships/oleObject" /><Relationship Target="embeddings/oleObject34.bin" Id="docRId69" Type="http://schemas.openxmlformats.org/officeDocument/2006/relationships/oleObject" /><Relationship Target="embeddings/oleObject62.bin" Id="docRId12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embeddings/oleObject53.bin" Id="docRId107" Type="http://schemas.openxmlformats.org/officeDocument/2006/relationships/oleObject" /><Relationship Target="media/image6.wmf" Id="docRId13" Type="http://schemas.openxmlformats.org/officeDocument/2006/relationships/image" /><Relationship Target="embeddings/oleObject65.bin" Id="docRId131"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38.wmf" Id="docRId78" Type="http://schemas.openxmlformats.org/officeDocument/2006/relationships/image" /><Relationship Target="media/image46.wmf" Id="docRId94" Type="http://schemas.openxmlformats.org/officeDocument/2006/relationships/image" /><Relationship Target="embeddings/oleObject1.bin" Id="docRId2" Type="http://schemas.openxmlformats.org/officeDocument/2006/relationships/oleObject" /><Relationship Target="embeddings/oleObject35.bin" Id="docRId71" Type="http://schemas.openxmlformats.org/officeDocument/2006/relationships/oleObject" /><Relationship Target="embeddings/oleObject58.bin" Id="docRId117" Type="http://schemas.openxmlformats.org/officeDocument/2006/relationships/oleObject" /><Relationship Target="media/image59.wmf" Id="docRId120"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50.wmf" Id="docRId102"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numbering.xml" Id="docRId133" Type="http://schemas.openxmlformats.org/officeDocument/2006/relationships/numbering"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styles.xml" Id="docRId134" Type="http://schemas.openxmlformats.org/officeDocument/2006/relationships/styles"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49.bin" Id="docRId99" Type="http://schemas.openxmlformats.org/officeDocument/2006/relationships/oleObject" /></Relationships>
</file>