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0" w:after="0" w:line="259"/>
        <w:ind w:right="4" w:left="10" w:hanging="10"/>
        <w:jc w:val="center"/>
        <w:rPr>
          <w:rFonts w:ascii="Arial" w:hAnsi="Arial" w:cs="Arial" w:eastAsia="Arial"/>
          <w:b/>
          <w:color w:val="D79A10"/>
          <w:spacing w:val="0"/>
          <w:position w:val="0"/>
          <w:sz w:val="36"/>
          <w:shd w:fill="073D48" w:val="clear"/>
        </w:rPr>
      </w:pPr>
      <w:r>
        <w:rPr>
          <w:rFonts w:ascii="Arial" w:hAnsi="Arial" w:cs="Arial" w:eastAsia="Arial"/>
          <w:b/>
          <w:color w:val="D79A10"/>
          <w:spacing w:val="0"/>
          <w:position w:val="0"/>
          <w:sz w:val="36"/>
          <w:shd w:fill="073D48" w:val="clear"/>
        </w:rPr>
        <w:t xml:space="preserve">Fiche de données de sécurité    </w:t>
      </w:r>
    </w:p>
    <w:p>
      <w:pPr>
        <w:tabs>
          <w:tab w:val="center" w:pos="1779" w:leader="none"/>
          <w:tab w:val="right" w:pos="9538" w:leader="none"/>
        </w:tabs>
        <w:spacing w:before="0" w:after="365"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Édité le :</w:t>
        <w:tab/>
        <w:t xml:space="preserve">12/09/2022</w:t>
        <w:tab/>
        <w:t xml:space="preserve">Révision : 001NEW-1-CLP du 12/09/2022</w:t>
      </w:r>
    </w:p>
    <w:p>
      <w:pPr>
        <w:keepNext w:val="true"/>
        <w:keepLines w:val="true"/>
        <w:spacing w:before="0" w:after="136" w:line="259"/>
        <w:ind w:right="2" w:left="0" w:firstLine="0"/>
        <w:jc w:val="center"/>
        <w:rPr>
          <w:rFonts w:ascii="Arial" w:hAnsi="Arial" w:cs="Arial" w:eastAsia="Arial"/>
          <w:color w:val="073D48"/>
          <w:spacing w:val="0"/>
          <w:position w:val="0"/>
          <w:sz w:val="22"/>
          <w:shd w:fill="D49C14" w:val="clear"/>
        </w:rPr>
      </w:pPr>
      <w:r>
        <w:rPr>
          <w:rFonts w:ascii="Arial" w:hAnsi="Arial" w:cs="Arial" w:eastAsia="Arial"/>
          <w:b/>
          <w:color w:val="073D48"/>
          <w:spacing w:val="0"/>
          <w:position w:val="0"/>
          <w:sz w:val="32"/>
          <w:shd w:fill="D49C14" w:val="clear"/>
        </w:rPr>
        <w:t xml:space="preserve">CHOCOLAT  7%</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 IDENTIFICATION DE LA SUBSTANCE/DU MELANGE ET DE LA SOCIETE/L'ENTREPRISE</w:t>
      </w:r>
    </w:p>
    <w:p>
      <w:pPr>
        <w:spacing w:before="0" w:after="134"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 Identificateur de produit</w:t>
      </w:r>
    </w:p>
    <w:p>
      <w:pPr>
        <w:spacing w:before="0" w:after="0" w:line="250"/>
        <w:ind w:right="0" w:left="-5" w:firstLine="0"/>
        <w:jc w:val="left"/>
        <w:rPr>
          <w:rFonts w:ascii="Microsoft Sans Serif" w:hAnsi="Microsoft Sans Serif" w:cs="Microsoft Sans Serif" w:eastAsia="Microsoft Sans Serif"/>
          <w:color w:val="073D48"/>
          <w:spacing w:val="0"/>
          <w:position w:val="0"/>
          <w:sz w:val="17"/>
          <w:shd w:fill="auto" w:val="clear"/>
        </w:rPr>
      </w:pPr>
      <w:r>
        <w:rPr>
          <w:rFonts w:ascii="Microsoft Sans Serif" w:hAnsi="Microsoft Sans Serif" w:cs="Microsoft Sans Serif" w:eastAsia="Microsoft Sans Serif"/>
          <w:color w:val="073D48"/>
          <w:spacing w:val="0"/>
          <w:position w:val="0"/>
          <w:sz w:val="17"/>
          <w:shd w:fill="auto" w:val="clear"/>
        </w:rPr>
        <w:t xml:space="preserve">CHOCOLAT  7%</w:t>
      </w:r>
    </w:p>
    <w:p>
      <w:pPr>
        <w:spacing w:before="0" w:after="0" w:line="250"/>
        <w:ind w:right="0" w:left="-5" w:firstLine="0"/>
        <w:jc w:val="left"/>
        <w:rPr>
          <w:rFonts w:ascii="Microsoft Sans Serif" w:hAnsi="Microsoft Sans Serif" w:cs="Microsoft Sans Serif" w:eastAsia="Microsoft Sans Serif"/>
          <w:color w:val="073D48"/>
          <w:spacing w:val="0"/>
          <w:position w:val="0"/>
          <w:sz w:val="17"/>
          <w:shd w:fill="auto" w:val="clear"/>
        </w:rPr>
      </w:pPr>
    </w:p>
    <w:p>
      <w:pPr>
        <w:spacing w:before="0" w:after="0" w:line="265"/>
        <w:ind w:right="0" w:left="0" w:firstLine="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UFI : NON</w:t>
      </w:r>
    </w:p>
    <w:p>
      <w:pPr>
        <w:spacing w:before="0" w:after="0" w:line="265"/>
        <w:ind w:right="0" w:left="0" w:firstLine="0"/>
        <w:jc w:val="both"/>
        <w:rPr>
          <w:rFonts w:ascii="Arial" w:hAnsi="Arial" w:cs="Arial" w:eastAsia="Arial"/>
          <w:b/>
          <w:color w:val="073D48"/>
          <w:spacing w:val="0"/>
          <w:position w:val="0"/>
          <w:sz w:val="20"/>
          <w:shd w:fill="auto" w:val="clear"/>
        </w:rPr>
      </w:pP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 Utilisations identifiées pertinentes de la substance ou du mélange et utilisations déconseillées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Usage : Industriel. Réservé à un usage professionnel.</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              N'est pas destiné à l'usage personnel sous cette forme ou cette concentration.</w:t>
      </w:r>
    </w:p>
    <w:p>
      <w:pPr>
        <w:spacing w:before="0" w:after="876"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destinés au parfumage des produits cosmétiques et techniques (usage industriel uniquement). Pour de plus amples informations, se référer à la fiche technique du produit.</w:t>
      </w:r>
    </w:p>
    <w:p>
      <w:pPr>
        <w:spacing w:before="0" w:after="152"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 Renseignements concernant le fournisseur de la fiche de données de sécurité</w:t>
      </w:r>
    </w:p>
    <w:p>
      <w:pPr>
        <w:spacing w:before="0" w:after="3" w:line="265"/>
        <w:ind w:right="0" w:left="747" w:hanging="10"/>
        <w:jc w:val="both"/>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Fabricant :</w:t>
      </w:r>
    </w:p>
    <w:p>
      <w:pPr>
        <w:spacing w:before="0" w:after="3" w:line="265"/>
        <w:ind w:right="0" w:left="747" w:hanging="10"/>
        <w:jc w:val="both"/>
        <w:rPr>
          <w:rFonts w:ascii="Arial" w:hAnsi="Arial" w:cs="Arial" w:eastAsia="Arial"/>
          <w:b/>
          <w:color w:val="073D48"/>
          <w:spacing w:val="0"/>
          <w:position w:val="0"/>
          <w:sz w:val="20"/>
          <w:shd w:fill="auto" w:val="clear"/>
        </w:rPr>
      </w:pP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3" w:line="265"/>
        <w:ind w:right="0" w:left="747" w:hanging="10"/>
        <w:jc w:val="both"/>
        <w:rPr>
          <w:rFonts w:ascii="Arial" w:hAnsi="Arial" w:cs="Arial" w:eastAsia="Arial"/>
          <w:color w:val="073D48"/>
          <w:spacing w:val="0"/>
          <w:position w:val="0"/>
          <w:sz w:val="20"/>
          <w:shd w:fill="auto" w:val="clear"/>
        </w:rPr>
      </w:pP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3" w:line="265"/>
        <w:ind w:right="0" w:left="747" w:hanging="10"/>
        <w:jc w:val="both"/>
        <w:rPr>
          <w:rFonts w:ascii="Arial" w:hAnsi="Arial" w:cs="Arial" w:eastAsia="Arial"/>
          <w:color w:val="073D48"/>
          <w:spacing w:val="0"/>
          <w:position w:val="0"/>
          <w:sz w:val="20"/>
          <w:shd w:fill="auto" w:val="clear"/>
        </w:rPr>
      </w:pP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3" w:line="265"/>
        <w:ind w:right="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3" w:line="265"/>
        <w:ind w:right="0" w:left="747" w:hanging="10"/>
        <w:jc w:val="both"/>
        <w:rPr>
          <w:rFonts w:ascii="Arial" w:hAnsi="Arial" w:cs="Arial" w:eastAsia="Arial"/>
          <w:color w:val="073D48"/>
          <w:spacing w:val="0"/>
          <w:position w:val="0"/>
          <w:sz w:val="20"/>
          <w:shd w:fill="auto" w:val="clear"/>
        </w:rPr>
      </w:pP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73D48"/>
          <w:spacing w:val="0"/>
          <w:position w:val="0"/>
          <w:sz w:val="20"/>
          <w:shd w:fill="auto" w:val="clear"/>
        </w:rPr>
      </w:pPr>
      <w:r>
        <w:rPr>
          <w:rFonts w:ascii="Arial" w:hAnsi="Arial" w:cs="Arial" w:eastAsia="Arial"/>
          <w:i/>
          <w:color w:val="073D48"/>
          <w:spacing w:val="0"/>
          <w:position w:val="0"/>
          <w:sz w:val="20"/>
          <w:shd w:fill="auto" w:val="clear"/>
        </w:rPr>
        <w:t xml:space="preserve">Téléphone en cas d’urgence (à utiliser par le médecin traitant) : </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France : </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 de Nancy : + 33 (0)3 83 85 21 92</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Belgique :</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+ 320 22 64 96 36</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Luxembourg :</w:t>
      </w:r>
    </w:p>
    <w:p>
      <w:pPr>
        <w:spacing w:before="0" w:after="82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2: IDENTIFICATION DES DANGERS</w:t>
      </w:r>
    </w:p>
    <w:p>
      <w:pPr>
        <w:spacing w:before="0" w:after="139"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2.1. Classification de la substance ou du mélange</w:t>
      </w:r>
    </w:p>
    <w:p>
      <w:pPr>
        <w:spacing w:before="0" w:after="86"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187"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325"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073d48"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D79A10"/>
                <w:spacing w:val="0"/>
                <w:position w:val="0"/>
                <w:sz w:val="36"/>
                <w:shd w:fill="auto" w:val="clear"/>
              </w:rPr>
              <w:t xml:space="preserve">Fiche de données de sécurité</w:t>
            </w:r>
          </w:p>
        </w:tc>
      </w:tr>
      <w:tr>
        <w:trPr>
          <w:trHeight w:val="4189"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393"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6"/>
                <w:shd w:fill="auto" w:val="clear"/>
              </w:rPr>
              <w:t xml:space="preserve">Édité le :</w:t>
              <w:tab/>
              <w:t xml:space="preserve">12/09/2022</w:t>
              <w:tab/>
              <w:t xml:space="preserve">CHOCOLAT   7%</w:t>
            </w:r>
          </w:p>
          <w:p>
            <w:pPr>
              <w:spacing w:before="0" w:after="144" w:line="259"/>
              <w:ind w:right="0" w:left="793"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2.2. Éléments d'étiquetage</w:t>
            </w:r>
          </w:p>
          <w:p>
            <w:pPr>
              <w:spacing w:before="0" w:after="86" w:line="259"/>
              <w:ind w:right="0" w:left="56"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u w:val="single"/>
                <w:shd w:fill="auto" w:val="clear"/>
              </w:rPr>
              <w:t xml:space="preserve">Classification GHS :</w:t>
            </w:r>
          </w:p>
          <w:p>
            <w:pPr>
              <w:spacing w:before="0" w:after="514" w:line="259"/>
              <w:ind w:right="0" w:left="56" w:firstLine="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(LégislationCLP)</w:t>
            </w:r>
          </w:p>
          <w:p>
            <w:pPr>
              <w:spacing w:before="0" w:after="486" w:line="259"/>
              <w:ind w:right="0" w:left="56"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NON CONCERNE</w:t>
            </w:r>
          </w:p>
          <w:p>
            <w:pPr>
              <w:spacing w:before="0" w:after="161" w:line="259"/>
              <w:ind w:right="0" w:left="793"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2.3. Autres dangers</w:t>
            </w:r>
          </w:p>
          <w:p>
            <w:pPr>
              <w:spacing w:before="0" w:after="0" w:line="259"/>
              <w:ind w:right="0" w:left="56" w:firstLine="0"/>
              <w:jc w:val="left"/>
              <w:rPr>
                <w:spacing w:val="0"/>
                <w:position w:val="0"/>
                <w:shd w:fill="auto" w:val="clear"/>
              </w:rPr>
            </w:pPr>
            <w:r>
              <w:rPr>
                <w:rFonts w:ascii="Arial" w:hAnsi="Arial" w:cs="Arial" w:eastAsia="Arial"/>
                <w:color w:val="073D48"/>
                <w:spacing w:val="0"/>
                <w:position w:val="0"/>
                <w:sz w:val="20"/>
                <w:shd w:fill="auto" w:val="clear"/>
              </w:rPr>
              <w:t xml:space="preserve">Non applicable </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73D48"/>
                <w:spacing w:val="0"/>
                <w:position w:val="0"/>
                <w:sz w:val="16"/>
                <w:shd w:fill="auto" w:val="clear"/>
              </w:rPr>
              <w:t xml:space="preserve">Révision : 001NEW-1-CLP du 12/09/2022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3: COMPOSITION/INFORMATIONS SUR LES COMPOSANTS</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642"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161" w:line="259"/>
              <w:ind w:right="0" w:left="793"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3.1. Substances</w:t>
            </w:r>
          </w:p>
          <w:p>
            <w:pPr>
              <w:spacing w:before="0" w:after="1118" w:line="259"/>
              <w:ind w:right="0" w:left="56"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 non concerné par la liste de composants. </w:t>
            </w:r>
          </w:p>
          <w:p>
            <w:pPr>
              <w:spacing w:before="0" w:after="161" w:line="259"/>
              <w:ind w:right="0" w:left="793"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3.2. Mélanges</w:t>
            </w:r>
          </w:p>
          <w:p>
            <w:pPr>
              <w:spacing w:before="0" w:after="0" w:line="259"/>
              <w:ind w:right="0" w:left="56" w:firstLine="0"/>
              <w:jc w:val="left"/>
              <w:rPr>
                <w:spacing w:val="0"/>
                <w:position w:val="0"/>
                <w:shd w:fill="auto" w:val="clear"/>
              </w:rPr>
            </w:pPr>
            <w:r>
              <w:rPr>
                <w:rFonts w:ascii="Arial" w:hAnsi="Arial" w:cs="Arial" w:eastAsia="Arial"/>
                <w:color w:val="073D48"/>
                <w:spacing w:val="0"/>
                <w:position w:val="0"/>
                <w:sz w:val="20"/>
                <w:shd w:fill="auto" w:val="clear"/>
              </w:rPr>
              <w:t xml:space="preserve">COMPOSITION : Mélange de matières premières aromatiques.</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4: PREMIERS SECOURS</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 Description des mesures de premiers secours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4.1.1. Informations générales:</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4.1.2. Après inhalation:</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Transporter la victime hors de la zone contaminée et la garder au repos.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4.1.3. Après contact avec la peau:</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Laver immédiatement à l'eau et au savon. En cas d'irritation de la peau, consulter un médecin.</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4.1.4. Après contact avec les yeux:</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4.1.5. Après ingestion:</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4.1.6. Autoprotection du secouriste:</w:t>
      </w:r>
    </w:p>
    <w:p>
      <w:pPr>
        <w:spacing w:before="0" w:after="912"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Secouriste: faire attention à se protéger!</w:t>
      </w:r>
    </w:p>
    <w:p>
      <w:pPr>
        <w:spacing w:before="0" w:after="763" w:line="427"/>
        <w:ind w:right="3672"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4.2. Principaux symptômes et effets, aigus et différés Tenir compte des phrases de risques et de sécurité.</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4.3. Indication des éventuels soins médicaux immédiats et traitements particuliers nécessaires</w:t>
      </w:r>
    </w:p>
    <w:p>
      <w:pPr>
        <w:spacing w:before="0" w:after="766" w:line="265"/>
        <w:ind w:right="227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5: MESURES DE LUTTE CONTRE L'INCENDIE</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5.1. Moyens d’extinction</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Moyens d'extinction appropriés: dioxyde de carbone (CO2), mousse, eau pulvérisée, poudre d'extinction sèche.</w:t>
      </w:r>
    </w:p>
    <w:p>
      <w:pPr>
        <w:spacing w:before="0" w:after="895"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Méthodes d'extinction inappropriées: jet d'eau puissant.</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5.2. Dangers particuliers résultant de la substance ou du mélange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Classe d'inflammabilité : le produit n'est pas inflammable.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Prévention : ne pas fumer. Pas de flamme nue.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combustion dangereux: les produits de décomposition peuvent éventuellement comprendre les substances suivantes: </w:t>
      </w:r>
    </w:p>
    <w:p>
      <w:pPr>
        <w:spacing w:before="0" w:after="3" w:line="265"/>
        <w:ind w:right="10" w:left="747"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dioxyde de carbone                                                                                                             </w:t>
      </w:r>
    </w:p>
    <w:p>
      <w:pPr>
        <w:spacing w:before="0" w:after="3" w:line="265"/>
        <w:ind w:right="10" w:left="747" w:hanging="122"/>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monoxyde de carbone.</w:t>
      </w:r>
    </w:p>
    <w:p>
      <w:pPr>
        <w:spacing w:before="0" w:after="922"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L'eau d'extinction contaminée doit être collectée à part. Ne pas jeter dans les égouts ou les eaux de surface.</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5.3. Conseils aux pompiers</w:t>
      </w:r>
    </w:p>
    <w:p>
      <w:pPr>
        <w:spacing w:before="0" w:after="788"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6: MESURES A PRENDRE EN CAS DE DISPERSION ACCIDENTELLE</w:t>
      </w:r>
    </w:p>
    <w:p>
      <w:pPr>
        <w:spacing w:before="0" w:after="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 Précautions individuelles, équipement de protection et procédures d’urgence</w:t>
      </w:r>
    </w:p>
    <w:p>
      <w:pPr>
        <w:spacing w:before="0" w:after="3" w:line="265"/>
        <w:ind w:right="0" w:left="747" w:hanging="10"/>
        <w:jc w:val="both"/>
        <w:rPr>
          <w:rFonts w:ascii="Arial" w:hAnsi="Arial" w:cs="Arial" w:eastAsia="Arial"/>
          <w:color w:val="073D48"/>
          <w:spacing w:val="0"/>
          <w:position w:val="0"/>
          <w:sz w:val="20"/>
          <w:shd w:fill="auto" w:val="clear"/>
        </w:rPr>
      </w:pP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6.1.1. Pour les non-secouristes:</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 équipement de protection individuel, voir rubrique 8.</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6.1.2. Pour les intervenants d'urgence:</w:t>
      </w:r>
    </w:p>
    <w:p>
      <w:pPr>
        <w:spacing w:before="0" w:after="920"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6.2. Précautions pour la protection de l’environnement</w:t>
      </w:r>
    </w:p>
    <w:p>
      <w:pPr>
        <w:spacing w:before="0" w:after="1100"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 Méthodes et matériel de confinement et de nettoyage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Enlever avec un absorbant inerte (par exemple sable, gel de silice, agglomérant pour acide, agglomérant universel, sciure).</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Eliminer comme déchet spécial conformément aux réglementations locales et nationales. </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6.3.1. Pour le confinement:</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Recueillir dans des récipients fermés et appropriés pour l'élimination.</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6.3.2. Pour le nettoyage:</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Nettoyer les objets et zones contaminés en observant soigneusement les réglementations environnementales.</w:t>
      </w:r>
    </w:p>
    <w:p>
      <w:pPr>
        <w:spacing w:before="0" w:after="922" w:line="265"/>
        <w:ind w:right="676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6.3.3. Autre information: Aucune.</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6.4. Référence à d’autres rubriques</w:t>
      </w:r>
    </w:p>
    <w:p>
      <w:pPr>
        <w:spacing w:before="0" w:after="784"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7: MANIPULATION ET STOCKAGE</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7.1. Précautions à prendre pour une manipulation sans danger</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w:t>
      </w:r>
    </w:p>
    <w:p>
      <w:pPr>
        <w:spacing w:before="0" w:after="193" w:line="265"/>
        <w:ind w:right="8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destinées à empêcher la production de particules en suspension et de poussières:</w:t>
      </w:r>
    </w:p>
    <w:p>
      <w:pPr>
        <w:spacing w:before="0" w:after="193" w:line="265"/>
        <w:ind w:right="81"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de protection de l'environnement:</w:t>
      </w:r>
    </w:p>
    <w:p>
      <w:pPr>
        <w:spacing w:before="0" w:after="18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puits et les égouts doivent être protégés contre la pénétration du produit. Voir la rubrique 8.</w:t>
      </w:r>
    </w:p>
    <w:p>
      <w:pPr>
        <w:spacing w:before="0" w:after="3" w:line="265"/>
        <w:ind w:right="10" w:left="-5" w:hanging="10"/>
        <w:jc w:val="both"/>
        <w:rPr>
          <w:rFonts w:ascii="Arial" w:hAnsi="Arial" w:cs="Arial" w:eastAsia="Arial"/>
          <w:color w:val="073D48"/>
          <w:spacing w:val="0"/>
          <w:position w:val="0"/>
          <w:sz w:val="20"/>
          <w:shd w:fill="auto" w:val="clear"/>
        </w:rPr>
      </w:pP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Conseils d'ordre général en matière d'hygiène au travail:</w:t>
      </w:r>
    </w:p>
    <w:p>
      <w:pPr>
        <w:spacing w:before="0" w:after="1102" w:line="265"/>
        <w:ind w:right="81"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7.2.  Conditions d’un stockage sûr, y compris les éventuelles incompatibilités</w:t>
      </w:r>
    </w:p>
    <w:p>
      <w:pPr>
        <w:spacing w:before="0" w:after="193" w:line="265"/>
        <w:ind w:right="455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Mesures techniques et conditions de stockage: Conserver à la température ambiante.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Exigences concernant les lieux et conteneurs de stockage: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sol doit être étanche, sans joints et non absorbant. Assurer une ventilation adéquate de la zone de stockage.</w:t>
      </w:r>
    </w:p>
    <w:p>
      <w:pPr>
        <w:spacing w:before="0" w:after="922" w:line="265"/>
        <w:ind w:right="365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Information supplémentaire sur les conditions de stockage: Protéger les récipients contre les dommages.</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7.3. Utilisation(s) finale(s) particulière(s)</w:t>
      </w:r>
    </w:p>
    <w:p>
      <w:pPr>
        <w:spacing w:before="0" w:after="76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8: CONTROLES DE L'EXPOSITION/PROTECTION INDIVIDUELLE</w:t>
      </w:r>
    </w:p>
    <w:p>
      <w:pPr>
        <w:spacing w:before="0" w:after="715"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Des examens de médecine préventive du travail sont à effectuer.</w:t>
      </w:r>
    </w:p>
    <w:p>
      <w:pPr>
        <w:spacing w:before="0" w:after="542" w:line="427"/>
        <w:ind w:right="608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8.1. Paramètres de contrôle Pas de données à ce jour.</w:t>
      </w:r>
    </w:p>
    <w:p>
      <w:pPr>
        <w:spacing w:before="0" w:after="139"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des yeux : </w:t>
        <w:tab/>
        <w:t xml:space="preserve">protection non requise.</w:t>
      </w:r>
    </w:p>
    <w:p>
      <w:pPr>
        <w:tabs>
          <w:tab w:val="center" w:pos="5144" w:leader="none"/>
        </w:tabs>
        <w:spacing w:before="0" w:after="3" w:line="265"/>
        <w:ind w:right="0" w:left="-15"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98"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73D48"/>
          <w:spacing w:val="0"/>
          <w:position w:val="0"/>
          <w:sz w:val="18"/>
          <w:shd w:fill="auto" w:val="clear"/>
        </w:rPr>
      </w:pPr>
    </w:p>
    <w:p>
      <w:pPr>
        <w:spacing w:before="0" w:after="3" w:line="265"/>
        <w:ind w:right="0" w:left="-5" w:hanging="10"/>
        <w:jc w:val="left"/>
        <w:rPr>
          <w:rFonts w:ascii="Arial" w:hAnsi="Arial" w:cs="Arial" w:eastAsia="Arial"/>
          <w:color w:val="073D48"/>
          <w:spacing w:val="0"/>
          <w:position w:val="0"/>
          <w:sz w:val="18"/>
          <w:shd w:fill="auto" w:val="clear"/>
        </w:rPr>
      </w:pP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d'instruction visant à prévenir l'exposition: pas de mesures spécifiques.</w:t>
      </w:r>
    </w:p>
    <w:p>
      <w:pPr>
        <w:spacing w:before="0" w:after="720" w:line="264"/>
        <w:ind w:right="2007" w:left="-6" w:hanging="11"/>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9: PROPRIETES PHYSIQUES ET CHIMIQUES</w:t>
      </w:r>
    </w:p>
    <w:p>
      <w:pPr>
        <w:spacing w:before="0" w:after="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9.1. Informations sur les propriétés physiques et chimiques essentielles</w:t>
      </w:r>
    </w:p>
    <w:tbl>
      <w:tblPr/>
      <w:tblGrid>
        <w:gridCol w:w="3096"/>
        <w:gridCol w:w="2314"/>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Couleur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Liquide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Odeur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de fusion/point de congélation (@1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Inflammabilité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w:t>
            </w:r>
          </w:p>
        </w:tc>
      </w:tr>
      <w:tr>
        <w:trPr>
          <w:trHeight w:val="88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0" w:line="240"/>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Limites inférieure et supérieure d’explosion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Point d’éclair (°C)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Température d'auto-inflammation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669"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pH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Solubilité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Coefficient de partage n-octanol/eau (valeur log)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73D48"/>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et/ou densité relative (@20° C-1 atm.)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Densité de vapeur relative (@20°C)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déterminée</w:t>
            </w:r>
          </w:p>
        </w:tc>
      </w:tr>
      <w:tr>
        <w:trPr>
          <w:trHeight w:val="27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73D48"/>
                <w:spacing w:val="0"/>
                <w:position w:val="0"/>
                <w:sz w:val="18"/>
                <w:shd w:fill="auto" w:val="clear"/>
              </w:rPr>
              <w:t xml:space="preserve">Caractéristiques des particules :</w:t>
            </w:r>
          </w:p>
        </w:tc>
        <w:tc>
          <w:tcPr>
            <w:tcW w:w="23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73D48"/>
                <w:spacing w:val="0"/>
                <w:position w:val="0"/>
                <w:sz w:val="18"/>
                <w:shd w:fill="auto" w:val="clear"/>
              </w:rPr>
              <w:t xml:space="preserve">non applicable (liquide)</w:t>
            </w:r>
          </w:p>
        </w:tc>
      </w:tr>
    </w:tbl>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9.2. Autres informations</w:t>
      </w:r>
    </w:p>
    <w:p>
      <w:pPr>
        <w:spacing w:before="0" w:after="157" w:line="259"/>
        <w:ind w:right="0" w:left="0" w:firstLine="0"/>
        <w:jc w:val="left"/>
        <w:rPr>
          <w:rFonts w:ascii="Arial" w:hAnsi="Arial" w:cs="Arial" w:eastAsia="Arial"/>
          <w:color w:val="073D48"/>
          <w:spacing w:val="0"/>
          <w:position w:val="0"/>
          <w:sz w:val="20"/>
          <w:shd w:fill="auto" w:val="clear"/>
        </w:rPr>
      </w:pPr>
      <w:r>
        <w:rPr>
          <w:rFonts w:ascii="Tahoma" w:hAnsi="Tahoma" w:cs="Tahoma" w:eastAsia="Tahoma"/>
          <w:color w:val="073D48"/>
          <w:spacing w:val="0"/>
          <w:position w:val="0"/>
          <w:sz w:val="18"/>
          <w:shd w:fill="auto" w:val="clear"/>
        </w:rPr>
        <w:t xml:space="preserve">Indice de réfraction (@20°C) :</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10: STABILITE ET REACTIVITE</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10.1. Réactivité</w:t>
      </w:r>
    </w:p>
    <w:p>
      <w:pPr>
        <w:spacing w:before="0" w:after="676"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donnée d'essai spécifique disponible relative à la réactivité de ce produit ou de ses ingrédients.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10.2. Stabilité chimique</w:t>
      </w:r>
    </w:p>
    <w:p>
      <w:pPr>
        <w:spacing w:before="0" w:after="701"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 substance est chimiquement stable dans les conditions recommandées de stockage, d'utilisation et de température.</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10.3. Possibilité de réactions dangereuses</w:t>
      </w:r>
    </w:p>
    <w:p>
      <w:pPr>
        <w:spacing w:before="0" w:after="678" w:line="265"/>
        <w:ind w:right="939"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10.4. Conditions à éviter</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les températures au-dessus ou au moins 5°C en-dessous du point d'éclair pour tout liquide inflammable.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chauffer les récipients fermés.</w:t>
      </w:r>
    </w:p>
    <w:p>
      <w:pPr>
        <w:spacing w:before="0" w:after="701" w:line="265"/>
        <w:ind w:right="506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Eviter le contact avec des agents oxydants. Sources directes de chaleur.</w:t>
      </w:r>
    </w:p>
    <w:p>
      <w:pPr>
        <w:spacing w:before="0" w:after="542" w:line="427"/>
        <w:ind w:right="5753"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10.5. Matières incompatibles Acides - Bases - Agents oxydants.</w:t>
      </w: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10.6. Produits de décomposition dangereux</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Décomposition thermique / conditions à éviter : </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Pas de décomposition en cas d'usage conforme.</w:t>
      </w:r>
    </w:p>
    <w:p>
      <w:pPr>
        <w:spacing w:before="0" w:after="567" w:line="265"/>
        <w:ind w:right="11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11: INFORMATIONS TOXICOLOGIQUES</w:t>
      </w:r>
    </w:p>
    <w:p>
      <w:pPr>
        <w:spacing w:before="0" w:after="3" w:line="641"/>
        <w:ind w:right="10"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11.1. Informations sur les classes de danger telles que définies dans le règlement (CE) nº 1272/2008 a) toxicité aiguë</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(oral) = Non déterminée (mg/kg)</w:t>
      </w:r>
    </w:p>
    <w:p>
      <w:pPr>
        <w:spacing w:before="0" w:after="193" w:line="265"/>
        <w:ind w:right="390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ETAmélange (dermique) = Non déterminée (mg/kg) ETAmélange (inhal.) = Non déterminée (mg/l/4 h)</w:t>
      </w:r>
    </w:p>
    <w:p>
      <w:pPr>
        <w:spacing w:before="0" w:after="193" w:line="265"/>
        <w:ind w:right="2985" w:left="747" w:hanging="223"/>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corrosion cutanée/irritation cutanée voir section 2</w:t>
      </w:r>
    </w:p>
    <w:p>
      <w:pPr>
        <w:spacing w:before="0" w:after="3" w:line="265"/>
        <w:ind w:right="2985" w:left="747" w:hanging="223"/>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lésions oculaires graves/irritation oculaire</w:t>
      </w:r>
    </w:p>
    <w:p>
      <w:pPr>
        <w:spacing w:before="0" w:after="193" w:line="265"/>
        <w:ind w:right="5644"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lésions oculaires graves/irritation oculaire voir section 2</w:t>
      </w:r>
    </w:p>
    <w:p>
      <w:pPr>
        <w:spacing w:before="0" w:after="193" w:line="265"/>
        <w:ind w:right="5644"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sensibilisation respiratoire ou cutanée voir section 2</w:t>
      </w:r>
    </w:p>
    <w:p>
      <w:pPr>
        <w:spacing w:before="0" w:after="193" w:line="265"/>
        <w:ind w:right="5644"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mutagénicité sur les cellules germinales voir section 2</w:t>
      </w:r>
    </w:p>
    <w:p>
      <w:pPr>
        <w:spacing w:before="0" w:after="193" w:line="265"/>
        <w:ind w:right="5644"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cancérogénicité voir section 2</w:t>
      </w:r>
    </w:p>
    <w:p>
      <w:pPr>
        <w:spacing w:before="0" w:after="193" w:line="265"/>
        <w:ind w:right="5644"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pour la reproduction voir section 2</w:t>
      </w:r>
    </w:p>
    <w:p>
      <w:pPr>
        <w:spacing w:before="0" w:after="193" w:line="265"/>
        <w:ind w:right="5644"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uniquevoir section 2</w:t>
      </w:r>
    </w:p>
    <w:p>
      <w:pPr>
        <w:spacing w:before="0" w:after="193" w:line="265"/>
        <w:ind w:right="5644"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toxicité spécifique pour certains organes cibles (STOT) - exposition répétée voir section 2</w:t>
      </w:r>
    </w:p>
    <w:p>
      <w:pPr>
        <w:spacing w:before="0" w:after="1136" w:line="265"/>
        <w:ind w:right="5644"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danger par aspiration voir section 2</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11.2.  Informations sur les autres dangers</w:t>
      </w:r>
    </w:p>
    <w:p>
      <w:pPr>
        <w:numPr>
          <w:ilvl w:val="0"/>
          <w:numId w:val="198"/>
        </w:numPr>
        <w:spacing w:before="0" w:after="193" w:line="265"/>
        <w:ind w:right="5742" w:left="180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Propriétés perturbant le système endocrinien: pas de données à ce jour.</w:t>
      </w:r>
    </w:p>
    <w:p>
      <w:pPr>
        <w:numPr>
          <w:ilvl w:val="0"/>
          <w:numId w:val="198"/>
        </w:numPr>
        <w:spacing w:before="0" w:after="730" w:line="265"/>
        <w:ind w:right="5742" w:left="1800"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12: INFORMATIONS ECOLOGIQUES</w:t>
      </w:r>
    </w:p>
    <w:p>
      <w:pPr>
        <w:spacing w:before="0" w:after="15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12.1. Toxicité</w:t>
      </w:r>
    </w:p>
    <w:p>
      <w:pPr>
        <w:spacing w:before="0" w:after="702"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591"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12.2. Persistance et dégradabilité Pas de données à ce jour.</w:t>
      </w:r>
    </w:p>
    <w:p>
      <w:pPr>
        <w:spacing w:before="0" w:after="3" w:line="427"/>
        <w:ind w:right="5502" w:left="-15" w:firstLine="737"/>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12.3. Potentiel de bioaccumulation Pas de données à ce jour.</w:t>
      </w:r>
    </w:p>
    <w:p>
      <w:pPr>
        <w:spacing w:before="0" w:after="3" w:line="427"/>
        <w:ind w:right="5502" w:left="-15" w:firstLine="737"/>
        <w:jc w:val="both"/>
        <w:rPr>
          <w:rFonts w:ascii="Arial" w:hAnsi="Arial" w:cs="Arial" w:eastAsia="Arial"/>
          <w:color w:val="073D48"/>
          <w:spacing w:val="0"/>
          <w:position w:val="0"/>
          <w:sz w:val="20"/>
          <w:shd w:fill="auto" w:val="clear"/>
        </w:rPr>
      </w:pPr>
    </w:p>
    <w:p>
      <w:pPr>
        <w:spacing w:before="0" w:after="3" w:line="427"/>
        <w:ind w:right="5502" w:left="0" w:firstLine="0"/>
        <w:jc w:val="both"/>
        <w:rPr>
          <w:rFonts w:ascii="Arial" w:hAnsi="Arial" w:cs="Arial" w:eastAsia="Arial"/>
          <w:color w:val="073D48"/>
          <w:spacing w:val="0"/>
          <w:position w:val="0"/>
          <w:sz w:val="20"/>
          <w:shd w:fill="auto" w:val="clear"/>
        </w:rPr>
      </w:pPr>
    </w:p>
    <w:p>
      <w:pPr>
        <w:spacing w:before="0" w:after="3" w:line="427"/>
        <w:ind w:right="5502" w:left="-15" w:firstLine="737"/>
        <w:jc w:val="both"/>
        <w:rPr>
          <w:rFonts w:ascii="Arial" w:hAnsi="Arial" w:cs="Arial" w:eastAsia="Arial"/>
          <w:color w:val="073D48"/>
          <w:spacing w:val="0"/>
          <w:position w:val="0"/>
          <w:sz w:val="20"/>
          <w:shd w:fill="auto" w:val="clear"/>
        </w:rPr>
      </w:pPr>
    </w:p>
    <w:p>
      <w:pPr>
        <w:spacing w:before="0" w:after="3" w:line="427"/>
        <w:ind w:right="5502" w:left="-15" w:firstLine="737"/>
        <w:jc w:val="both"/>
        <w:rPr>
          <w:rFonts w:ascii="Arial" w:hAnsi="Arial" w:cs="Arial" w:eastAsia="Arial"/>
          <w:color w:val="073D48"/>
          <w:spacing w:val="0"/>
          <w:position w:val="0"/>
          <w:sz w:val="20"/>
          <w:shd w:fill="auto" w:val="clear"/>
        </w:rPr>
      </w:pPr>
    </w:p>
    <w:p>
      <w:pPr>
        <w:spacing w:before="0" w:after="3" w:line="427"/>
        <w:ind w:right="5502" w:left="-15" w:firstLine="737"/>
        <w:jc w:val="both"/>
        <w:rPr>
          <w:rFonts w:ascii="Arial" w:hAnsi="Arial" w:cs="Arial" w:eastAsia="Arial"/>
          <w:color w:val="073D48"/>
          <w:spacing w:val="0"/>
          <w:position w:val="0"/>
          <w:sz w:val="20"/>
          <w:shd w:fill="auto" w:val="clear"/>
        </w:rPr>
      </w:pPr>
    </w:p>
    <w:tbl>
      <w:tblPr/>
      <w:tblGrid>
        <w:gridCol w:w="6615"/>
        <w:gridCol w:w="3025"/>
      </w:tblGrid>
      <w:tr>
        <w:trPr>
          <w:trHeight w:val="61" w:hRule="auto"/>
          <w:jc w:val="left"/>
        </w:trPr>
        <w:tc>
          <w:tcPr>
            <w:tcW w:w="9640" w:type="dxa"/>
            <w:gridSpan w:val="2"/>
            <w:tcBorders>
              <w:top w:val="single" w:color="000000" w:sz="0"/>
              <w:left w:val="single" w:color="000000" w:sz="0"/>
              <w:bottom w:val="single" w:color="000000" w:sz="0"/>
              <w:right w:val="single" w:color="000000" w:sz="0"/>
            </w:tcBorders>
            <w:shd w:color="auto" w:fill="ffffff" w:val="clear"/>
            <w:tcMar>
              <w:left w:w="26" w:type="dxa"/>
              <w:right w:w="26"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5903" w:hRule="auto"/>
          <w:jc w:val="left"/>
        </w:trPr>
        <w:tc>
          <w:tcPr>
            <w:tcW w:w="6615"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1" w:leader="none"/>
              </w:tabs>
              <w:spacing w:before="0" w:after="199" w:line="259"/>
              <w:ind w:right="0" w:left="0" w:firstLine="0"/>
              <w:jc w:val="left"/>
              <w:rPr>
                <w:rFonts w:ascii="Arial" w:hAnsi="Arial" w:cs="Arial" w:eastAsia="Arial"/>
                <w:color w:val="073D48"/>
                <w:spacing w:val="0"/>
                <w:position w:val="0"/>
                <w:sz w:val="20"/>
                <w:shd w:fill="auto" w:val="clear"/>
              </w:rPr>
            </w:pPr>
          </w:p>
          <w:p>
            <w:pPr>
              <w:spacing w:before="0" w:after="545" w:line="425"/>
              <w:ind w:right="324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12.4. Mobilité dans le sol Pas de données à ce jour.</w:t>
            </w:r>
          </w:p>
          <w:p>
            <w:pPr>
              <w:spacing w:before="0" w:after="542" w:line="427"/>
              <w:ind w:right="1486"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12.5. Résultats des évaluations PBT et vPvB Pas de données à ce jour.</w:t>
            </w:r>
          </w:p>
          <w:p>
            <w:pPr>
              <w:spacing w:before="0" w:after="545" w:line="425"/>
              <w:ind w:right="973" w:left="56" w:firstLine="737"/>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73D48"/>
                <w:spacing w:val="0"/>
                <w:position w:val="0"/>
                <w:sz w:val="20"/>
                <w:shd w:fill="auto" w:val="clear"/>
              </w:rPr>
              <w:t xml:space="preserve">12.7. Autres effets néfastes Pas de données à ce jour.</w:t>
            </w:r>
          </w:p>
        </w:tc>
        <w:tc>
          <w:tcPr>
            <w:tcW w:w="3025" w:type="dxa"/>
            <w:tcBorders>
              <w:top w:val="single" w:color="000000" w:sz="0"/>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73D48"/>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3" w:line="265"/>
        <w:ind w:right="10" w:left="747" w:hanging="10"/>
        <w:jc w:val="both"/>
        <w:rPr>
          <w:rFonts w:ascii="Arial" w:hAnsi="Arial" w:cs="Arial" w:eastAsia="Arial"/>
          <w:color w:val="073D48"/>
          <w:spacing w:val="0"/>
          <w:position w:val="0"/>
          <w:sz w:val="20"/>
          <w:shd w:fill="auto" w:val="clear"/>
        </w:rPr>
      </w:pPr>
    </w:p>
    <w:p>
      <w:pPr>
        <w:spacing w:before="0" w:after="153"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 Méthodes de traitement des déchets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13.1.1 Disposition relative au produit/à l'emballage: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Liste des codes/désignations de déchets proposés conformément au CED.</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13.1.3 Evacuation des eaux usées - information pertinente:</w:t>
      </w:r>
    </w:p>
    <w:p>
      <w:pPr>
        <w:spacing w:before="0" w:after="19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rejet dans l'environnement ou le réseau d'égouts est interdit. Elles doivent être traitées comme des déchets dangereux.</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13.1.4 Autres recommandations d'élimination:</w:t>
      </w:r>
    </w:p>
    <w:p>
      <w:pPr>
        <w:spacing w:before="0" w:after="564"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Manipuler les emballages contaminés de la même manière que la substance elle-même.</w:t>
      </w:r>
    </w:p>
    <w:p>
      <w:pPr>
        <w:keepNext w:val="true"/>
        <w:keepLines w:val="true"/>
        <w:spacing w:before="0" w:after="139"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 En cas de fuite accidentelle ou d'incendie durant le transport, se référer aux instructions données aux points 5, 6, 7 et 8 ci-dessus.</w:t>
      </w:r>
    </w:p>
    <w:p>
      <w:pPr>
        <w:spacing w:before="0" w:after="3" w:line="265"/>
        <w:ind w:right="10" w:left="0" w:firstLine="0"/>
        <w:jc w:val="both"/>
        <w:rPr>
          <w:rFonts w:ascii="Arial" w:hAnsi="Arial" w:cs="Arial" w:eastAsia="Arial"/>
          <w:color w:val="073D48"/>
          <w:spacing w:val="0"/>
          <w:position w:val="0"/>
          <w:sz w:val="20"/>
          <w:shd w:fill="auto" w:val="clear"/>
        </w:rPr>
      </w:pPr>
    </w:p>
    <w:p>
      <w:pPr>
        <w:spacing w:before="0" w:after="3" w:line="265"/>
        <w:ind w:right="1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14.1. Numéro ONU ou numéro d’identification</w:t>
      </w:r>
    </w:p>
    <w:p>
      <w:pPr>
        <w:spacing w:before="0" w:after="6" w:line="250"/>
        <w:ind w:right="7405" w:left="-5" w:hanging="10"/>
        <w:jc w:val="left"/>
        <w:rPr>
          <w:rFonts w:ascii="Microsoft Sans Serif" w:hAnsi="Microsoft Sans Serif" w:cs="Microsoft Sans Serif" w:eastAsia="Microsoft Sans Serif"/>
          <w:color w:val="073D48"/>
          <w:spacing w:val="0"/>
          <w:position w:val="0"/>
          <w:sz w:val="17"/>
          <w:shd w:fill="auto" w:val="clear"/>
        </w:rPr>
      </w:pPr>
    </w:p>
    <w:p>
      <w:pPr>
        <w:spacing w:before="0" w:after="6" w:line="250"/>
        <w:ind w:right="7405" w:left="-5" w:hanging="10"/>
        <w:jc w:val="left"/>
        <w:rPr>
          <w:rFonts w:ascii="Microsoft Sans Serif" w:hAnsi="Microsoft Sans Serif" w:cs="Microsoft Sans Serif" w:eastAsia="Microsoft Sans Serif"/>
          <w:color w:val="073D48"/>
          <w:spacing w:val="0"/>
          <w:position w:val="0"/>
          <w:sz w:val="17"/>
          <w:shd w:fill="auto" w:val="clear"/>
        </w:rPr>
      </w:pPr>
    </w:p>
    <w:p>
      <w:pPr>
        <w:spacing w:before="0" w:after="6"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133" w:line="250"/>
        <w:ind w:right="7405" w:left="-15" w:firstLine="0"/>
        <w:jc w:val="left"/>
        <w:rPr>
          <w:rFonts w:ascii="Microsoft Sans Serif" w:hAnsi="Microsoft Sans Serif" w:cs="Microsoft Sans Serif" w:eastAsia="Microsoft Sans Serif"/>
          <w:color w:val="073D48"/>
          <w:spacing w:val="0"/>
          <w:position w:val="0"/>
          <w:sz w:val="17"/>
          <w:shd w:fill="auto" w:val="clear"/>
        </w:rPr>
      </w:pPr>
    </w:p>
    <w:p>
      <w:pPr>
        <w:spacing w:before="0" w:after="133" w:line="250"/>
        <w:ind w:right="7405" w:left="-15" w:firstLine="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679"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NON REGLEMENTE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14.2. Désignation officielle de transport de l'ONU</w:t>
      </w:r>
    </w:p>
    <w:p>
      <w:pPr>
        <w:spacing w:before="0" w:after="6"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14.3. Classe(s) de danger pour le transport</w:t>
      </w:r>
    </w:p>
    <w:p>
      <w:pPr>
        <w:spacing w:before="0" w:after="6"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4"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14.4. Groupe d’emballage</w:t>
      </w:r>
    </w:p>
    <w:p>
      <w:pPr>
        <w:spacing w:before="0" w:after="6"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ADR : NON REGLEMENTE</w:t>
      </w:r>
    </w:p>
    <w:p>
      <w:pPr>
        <w:spacing w:before="0" w:after="325"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IMDG:NON REGLEMENTE IATA :NON REGLEMENTE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14.5. Dangers pour l’environnement</w:t>
      </w:r>
    </w:p>
    <w:p>
      <w:pPr>
        <w:spacing w:before="0" w:after="325"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IMDG : NON REGLEMENTE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14.6. Précautions particulières à prendre par l’utilisateur</w:t>
      </w:r>
    </w:p>
    <w:p>
      <w:pPr>
        <w:spacing w:before="0" w:after="325"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spacing w:before="0" w:after="136"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14.7. Transport maritime en vrac conformément aux instruments de l’OMI</w:t>
      </w:r>
    </w:p>
    <w:p>
      <w:pPr>
        <w:spacing w:before="0" w:after="191" w:line="250"/>
        <w:ind w:right="7405" w:left="-5" w:hanging="10"/>
        <w:jc w:val="left"/>
        <w:rPr>
          <w:rFonts w:ascii="Arial" w:hAnsi="Arial" w:cs="Arial" w:eastAsia="Arial"/>
          <w:color w:val="073D48"/>
          <w:spacing w:val="0"/>
          <w:position w:val="0"/>
          <w:sz w:val="20"/>
          <w:shd w:fill="auto" w:val="clear"/>
        </w:rPr>
      </w:pPr>
      <w:r>
        <w:rPr>
          <w:rFonts w:ascii="Microsoft Sans Serif" w:hAnsi="Microsoft Sans Serif" w:cs="Microsoft Sans Serif" w:eastAsia="Microsoft Sans Serif"/>
          <w:color w:val="073D48"/>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15: INFORMATIONS RELATIVES A LA REGLEMENTATION</w:t>
      </w:r>
    </w:p>
    <w:p>
      <w:pPr>
        <w:spacing w:before="0" w:after="157" w:line="265"/>
        <w:ind w:right="10" w:left="747"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Règlements de l'UE:</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326"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0" w:left="-5" w:hanging="10"/>
        <w:jc w:val="both"/>
        <w:rPr>
          <w:rFonts w:ascii="Arial" w:hAnsi="Arial" w:cs="Arial" w:eastAsia="Arial"/>
          <w:color w:val="073D48"/>
          <w:spacing w:val="0"/>
          <w:position w:val="0"/>
          <w:sz w:val="20"/>
          <w:shd w:fill="auto" w:val="clear"/>
        </w:rPr>
      </w:pP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Autre législation de l'UE: </w:t>
      </w:r>
    </w:p>
    <w:p>
      <w:pPr>
        <w:spacing w:before="0" w:after="3" w:line="265"/>
        <w:ind w:right="10" w:left="-5" w:hanging="10"/>
        <w:jc w:val="both"/>
        <w:rPr>
          <w:rFonts w:ascii="Arial" w:hAnsi="Arial" w:cs="Arial" w:eastAsia="Arial"/>
          <w:color w:val="073D48"/>
          <w:spacing w:val="0"/>
          <w:position w:val="0"/>
          <w:sz w:val="20"/>
          <w:shd w:fill="auto" w:val="clear"/>
        </w:rPr>
      </w:pP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10" w:left="0" w:firstLine="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36" w:line="259"/>
        <w:ind w:right="0" w:left="-5" w:hanging="10"/>
        <w:jc w:val="left"/>
        <w:rPr>
          <w:rFonts w:ascii="Arial" w:hAnsi="Arial" w:cs="Arial" w:eastAsia="Arial"/>
          <w:color w:val="073D48"/>
          <w:spacing w:val="0"/>
          <w:position w:val="0"/>
          <w:sz w:val="22"/>
          <w:shd w:fill="E0E0E0" w:val="clear"/>
        </w:rPr>
      </w:pPr>
      <w:r>
        <w:rPr>
          <w:rFonts w:ascii="Arial" w:hAnsi="Arial" w:cs="Arial" w:eastAsia="Arial"/>
          <w:color w:val="073D48"/>
          <w:spacing w:val="0"/>
          <w:position w:val="0"/>
          <w:sz w:val="22"/>
          <w:shd w:fill="E0E0E0" w:val="clear"/>
        </w:rPr>
        <w:t xml:space="preserve">16: AUTRES INFORMATIONS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Abréviations et acronymes: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 european Agreement concerning the international carriage of Dangerous goods by Road. CAS: Chemical Abstracts Service.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 Commission Européenne.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CED: Catalogue Européen des Déchets.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CEE: Communauté Economique Européenne.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CLP: Classification, Labelling, Packaging.</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EINECS: European INventory of Existing Commercial chemical Substances.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GHS: Global Harmonized System.</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IATA-DGR : International Air Transport Association - Dangerous Goods Regulations.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IBC: International Code for the Construction and Equipment of Ships Carrying Dangerous Chemicals in Bulk.</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ICAO-TI: International Civil Aviation Organization - Technical Instructions.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IMDG : International Maritime Dangerous Goods.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OMI: Organisation Maritime Internationale.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ONU: Organisation des Nations Unies.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PBT: Persistent, Bioaccumulative, Toxic.</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REACH: Registration, Evaluation, Authorisation and Restriction of CHemicals.</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UE: Union Européenne. vPvB: very Persistent, very Bioaccumulative.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0" w:left="-5" w:hanging="10"/>
        <w:jc w:val="both"/>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num w:numId="19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