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Société :      </w:t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(Nom de votre société) </w:t>
      </w: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3" w:after="0" w:line="38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32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 LA SUBSTANCE ET DE LA SOCIETE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28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1.1. Identification de produit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0" w:after="3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Contient   Linalool,   alpha-Amylcinnamaldehyde,   ethyl linalool (3,7-Dimethyl-1,6-nonadien-3-ol),   Hexyl salicylate,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Isoeugenol,   Geraniol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UFI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00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1.2. Utilisations identifiées pertinentes de la substance ou du mélange et utilisations déconseillées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Usage    : Utilisation par les consommateurs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1.3. Renseignements concernant le fournisseur de la fiche de données de sécurité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de votre société)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(Adresse mail)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i/>
          <w:color w:val="000000"/>
          <w:spacing w:val="0"/>
          <w:position w:val="0"/>
          <w:sz w:val="19"/>
          <w:shd w:fill="auto" w:val="clear"/>
        </w:rPr>
        <w:t xml:space="preserve">(Numero de téléphone)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99" w:after="0" w:line="32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1.4 Numéro d'appel d'urgence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ORFILA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: 00 33 1 45 42 59 59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IDENTIFICATION DES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2.1. Classification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158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</w:p>
    <w:p>
      <w:pPr>
        <w:spacing w:before="0" w:after="0" w:line="28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85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2.2. Elements d'étiquetage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Classification selon le règlement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32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(Législation CLP)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Mention d’avertissement :  ATTENTION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Skin Sens. 1  Sensibilisation cutanée 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H317 - Peut provoquer une allergie cutanée.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1/8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84" w:type="dxa"/>
      </w:tblPr>
      <w:tblGrid>
        <w:gridCol w:w="1498"/>
        <w:gridCol w:w="2749"/>
        <w:gridCol w:w="2380"/>
        <w:gridCol w:w="2073"/>
        <w:gridCol w:w="903"/>
      </w:tblGrid>
      <w:tr>
        <w:trPr>
          <w:trHeight w:val="482" w:hRule="auto"/>
          <w:jc w:val="left"/>
        </w:trPr>
        <w:tc>
          <w:tcPr>
            <w:tcW w:w="1498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27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d'identification </w:t>
            </w:r>
          </w:p>
        </w:tc>
        <w:tc>
          <w:tcPr>
            <w:tcW w:w="2749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Substance </w:t>
            </w:r>
          </w:p>
        </w:tc>
        <w:tc>
          <w:tcPr>
            <w:tcW w:w="2380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182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Classes danger &amp; Phrases H </w:t>
            </w:r>
          </w:p>
        </w:tc>
        <w:tc>
          <w:tcPr>
            <w:tcW w:w="207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471" w:leader="none"/>
              </w:tabs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LCS / Facteurs M / ATE /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br/>
              <w:tab/>
            </w: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VLEP-VMEP </w:t>
            </w:r>
          </w:p>
        </w:tc>
        <w:tc>
          <w:tcPr>
            <w:tcW w:w="903" w:type="dxa"/>
            <w:tcBorders>
              <w:top w:val="single" w:color="000000" w:sz="0"/>
              <w:left w:val="single" w:color="000000" w:sz="0"/>
              <w:bottom w:val="single" w:color="c0c0c0" w:sz="0"/>
              <w:right w:val="single" w:color="000000" w:sz="0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88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Pourcent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106-24-1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203-377-1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01-2119552430-49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Geraniol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Dam.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H318,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6259-76-3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228-408-6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01-2119638275-36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Hexyl salicylate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Aquatic Acute 1, Aquatic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Chronic 1,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1A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H400, H410,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1063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97-54-1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202-590-7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Isoeugenol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Acute Tox. 4 (Dermal, Acute Tox. 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(Inhala, Acute Tox. 4 (Oral), Eye Irrit.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2, Skin Irrit. 2, Skin Sens. 1A, Stot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Se 3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H312, H332, H302, H319, H315,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H317, H335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24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(Dermale) : 1912mg/kg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(Orale) : 542mg/kg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ATE (Inhalation) : 1.5mg/L </w:t>
            </w: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78-70-6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201-134-4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01-2119474016-42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Linalool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7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430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122-40-7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204-541-5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alpha-Amylcinnamaldehyde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Aquatic Chronic 2, Skin Sens. 1B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H411,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  <w:tr>
        <w:trPr>
          <w:trHeight w:val="746" w:hRule="auto"/>
          <w:jc w:val="left"/>
        </w:trPr>
        <w:tc>
          <w:tcPr>
            <w:tcW w:w="1498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CAS# 10339-55-6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EINECS# 233-732-6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REACH#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01-2119969272-32 </w:t>
            </w:r>
          </w:p>
        </w:tc>
        <w:tc>
          <w:tcPr>
            <w:tcW w:w="2749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ethyl linalool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(3,7-Dimethyl-1,6-nonadien-3-ol) </w:t>
            </w:r>
          </w:p>
        </w:tc>
        <w:tc>
          <w:tcPr>
            <w:tcW w:w="2380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Eye Irrit. 2, Skin Irrit. 2, Skin Sens.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1B </w:t>
            </w:r>
          </w:p>
          <w:p>
            <w:pPr>
              <w:spacing w:before="0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H319, H315, H317 </w:t>
            </w:r>
          </w:p>
        </w:tc>
        <w:tc>
          <w:tcPr>
            <w:tcW w:w="207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0" w:after="0" w:line="416"/>
              <w:ind w:right="-56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3" w:type="dxa"/>
            <w:tcBorders>
              <w:top w:val="single" w:color="c0c0c0" w:sz="0"/>
              <w:left w:val="single" w:color="c0c0c0" w:sz="0"/>
              <w:bottom w:val="single" w:color="c0c0c0" w:sz="0"/>
              <w:right w:val="single" w:color="c0c0c0" w:sz="0"/>
            </w:tcBorders>
            <w:shd w:color="000000" w:fill="ffffff" w:val="clear"/>
            <w:tcMar>
              <w:left w:w="255" w:type="dxa"/>
              <w:right w:w="255" w:type="dxa"/>
            </w:tcMar>
            <w:vAlign w:val="top"/>
          </w:tcPr>
          <w:p>
            <w:pPr>
              <w:spacing w:before="85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4"/>
                <w:shd w:fill="auto" w:val="clear"/>
              </w:rPr>
              <w:t xml:space="preserve">[ 0-5 ]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0" style="width:47.5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P102 - Tenir hors de portée des enfants.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P261 - Éviter de respirer les poussières/fumées/gaz/brouillards/vapeurs/aérosols.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P272 - Les vêtements de travail contaminés ne devraient pas sortir du lieu de travail.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P280 - Porter des gants de protection/des vêtements de protection/un équipement de protection des yeux/du visage.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P302+P352 - EN CAS DE CONTACT AVEC LA PEAU: Laver abondamment à l’eau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P333+P313 - En cas d’irritation ou d’éruption cutanée: consulter un médecin.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P363 - Laver les vêtements contaminés avant réutilisation.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2.3. Autres dangers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COMPOSITION / INFORMATIONS SUR LES COMPOSANTS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3.1. Substances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3.2. Mélanges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Numéro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6"/>
          <w:shd w:fill="auto" w:val="clear"/>
        </w:rPr>
        <w:t xml:space="preserve">age 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Les VLEP et VMEP des différentes substances sont renseignées dans le tableau ci-dessus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4.1. Description des premiers secours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la peau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Laver immédiatement avec de l'eau.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Contact avec les yeux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Rinçage abondant à l'eau (15 minutes les paupières ouvertes).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2/8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1053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Instructions de lutte contre l'incendie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54" w:type="dxa"/>
              <w:right w:w="154" w:type="dxa"/>
            </w:tcMar>
            <w:vAlign w:val="top"/>
          </w:tcPr>
          <w:p>
            <w:pPr>
              <w:spacing w:before="34" w:after="0" w:line="255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Refroidir les conteneurs exposés par pulvérisation ou brouillard d'eau.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Soyez prudent lors du combat de tout incendie de produits chimiques.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Eviter que les eaux usées de lutte contre l'incendie contaminent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l'environnement. </w:t>
            </w:r>
          </w:p>
        </w:tc>
      </w:tr>
      <w:tr>
        <w:trPr>
          <w:trHeight w:val="528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Protection en cas d'incendie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29" w:type="dxa"/>
              <w:right w:w="129" w:type="dxa"/>
            </w:tcMar>
            <w:vAlign w:val="top"/>
          </w:tcPr>
          <w:p>
            <w:pPr>
              <w:spacing w:before="36" w:after="0" w:line="247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Ne pas pénétrer dans la zone de feu sans équipement de protection, y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compris une protection respiratoire.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En cas d'ingestion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rincer la bouche avec de l'eau.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87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4.2. Principaux symptômes et effets, aigus et différés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4.3. Indication des éventuels soins médicaux immédiats et traitements particuliers nécessaires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Si les troubles persistent, consulter un médecin.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DE LUTTE CONTRE L'INCENDIE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5.1. Moyens d’extinction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Extincteur à CO2, poudre, mousse ou sable.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5.2. Dangers particuliers résultant de la substance ou du mélange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d'informations complémentaires disponibles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5.3. Conseils aux pompiers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MESURES EN CAS D'ECOULEMENT ACCIDENTEL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6.1. Précautions individuelles, équipement de protection et procédures d’urgence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Fournir une protection adéquate aux équipes de nettoyage.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Respecter les consignes indiquées au paragraphe 2.2.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Aérer la zone.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6.2. Précautions pour la protection de l’environnement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Empêcher toute contamination du sol et de l'eau, tout écoulement dans les égouts, caniveaux, rivières.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Avertir les autorités si le produit pénètre dans les égouts ou dans les eaux du domaine public.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6.3. Méthodes et matériel de confinement et de nettoyage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Sur le sol, balayer ou pelleter dans des conteneurs de rejet adéquats. Réduire à un minimum la production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3/8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" w:type="dxa"/>
      </w:tblPr>
      <w:tblGrid>
        <w:gridCol w:w="3684"/>
        <w:gridCol w:w="285"/>
        <w:gridCol w:w="6521"/>
      </w:tblGrid>
      <w:tr>
        <w:trPr>
          <w:trHeight w:val="78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Conditions de stockage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32" w:type="dxa"/>
              <w:right w:w="32" w:type="dxa"/>
            </w:tcMar>
            <w:vAlign w:val="top"/>
          </w:tcPr>
          <w:p>
            <w:pPr>
              <w:spacing w:before="34" w:after="0" w:line="253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Conserver uniquement dans le récipient d'origine dans un endroit frais et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bien ventilé à l'écart des : Garder les conteneurs fermés en dehors de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  <w:br/>
            </w: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leur utilisation.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Produits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077" w:type="dxa"/>
              <w:right w:w="207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Bases fortes. Acides forts. </w:t>
            </w:r>
          </w:p>
        </w:tc>
      </w:tr>
      <w:tr>
        <w:trPr>
          <w:trHeight w:val="264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Matières incompatibles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1065" w:type="dxa"/>
              <w:right w:w="1065" w:type="dxa"/>
            </w:tcMar>
            <w:vAlign w:val="top"/>
          </w:tcPr>
          <w:p>
            <w:pPr>
              <w:spacing w:before="36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Sources d'inflammation. Rayons directs du soleil. </w:t>
            </w:r>
          </w:p>
        </w:tc>
      </w:tr>
      <w:tr>
        <w:trPr>
          <w:trHeight w:val="259" w:hRule="auto"/>
          <w:jc w:val="left"/>
        </w:trPr>
        <w:tc>
          <w:tcPr>
            <w:tcW w:w="3684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Durée de stockage maximale </w:t>
            </w:r>
          </w:p>
        </w:tc>
        <w:tc>
          <w:tcPr>
            <w:tcW w:w="285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: </w:t>
            </w:r>
          </w:p>
        </w:tc>
        <w:tc>
          <w:tcPr>
            <w:tcW w:w="6521" w:type="dxa"/>
            <w:tcBorders>
              <w:top w:val="single" w:color="ffffff" w:sz="1"/>
              <w:left w:val="single" w:color="ffffff" w:sz="1"/>
              <w:bottom w:val="single" w:color="ffffff" w:sz="1"/>
              <w:right w:val="single" w:color="ffffff" w:sz="1"/>
            </w:tcBorders>
            <w:shd w:color="auto" w:fill="ffffff" w:val="clear"/>
            <w:tcMar>
              <w:left w:w="2937" w:type="dxa"/>
              <w:right w:w="2937" w:type="dxa"/>
            </w:tcMar>
            <w:vAlign w:val="top"/>
          </w:tcPr>
          <w:p>
            <w:pPr>
              <w:spacing w:before="34" w:after="0" w:line="240"/>
              <w:ind w:right="-567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FFFFFF"/>
                <w:spacing w:val="0"/>
                <w:position w:val="0"/>
                <w:sz w:val="19"/>
                <w:shd w:fill="auto" w:val="clear"/>
              </w:rPr>
              <w:t xml:space="preserve">6 mois </w:t>
            </w:r>
          </w:p>
        </w:tc>
      </w:tr>
    </w:tbl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poussières. Stocker à l'écart des autres matières.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6.4. Référence à d'autres sections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7. 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MANUTENTION ET STOCKAGE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7.1. Précautions à prendre pour une manipulation sans danger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laver les mains et toute autre zone exposée avec un savon doux et de l'eau, avant de manger, de boire,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de fumer, et avant de quitter le travail. Assurer une bonne ventilation de la zone de travail afin d'éviter la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formation de vapeurs.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7.2. Conditions nécessaires pour assurer la sécurité du stockage, tenant compte d’éventuelles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incompatibilités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31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7.3. Utilisation(s) finale(s) particulière(s)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8. 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PREVENTION DE L'EXPOSITION/VETEMENTS ET ACCESSOIRES DE PROTECTION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8.1. Paramètres de contrôle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8.2. Contrôles de l’exposition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21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Mesures d'ordre technique : Eviter le contact avec les yeux. Ne pas ingérer. Eviter le contact avec les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aliments et les boissons.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Equipements de protection individuelle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mains : Porter des gants.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des yeux : Protection non requise.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- Protection respiratoire :  En cas de ventilation insuffisante, porter un appareil respiratoire approprié.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4/8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951" w:dyaOrig="951">
          <v:rect xmlns:o="urn:schemas-microsoft-com:office:office" xmlns:v="urn:schemas-microsoft-com:vml" id="rectole0000000001" style="width:47.55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9. 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PROPRIETES PHYSIQUES ET CHIMIQUES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9.1. Informations sur les propriétés physiques et chimiques essentielles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8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Etat Physique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Couleur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Odeur : 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1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Solide </w:t>
      </w:r>
    </w:p>
    <w:p>
      <w:pPr>
        <w:spacing w:before="109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0" w:line="282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de fusion/point de congélation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d'ébullition  :                                 Non disponible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Inflammabilité :                                      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9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Limites inférieures et supérieures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d'explosion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Point éclair en °C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d'auto-inflammation 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T° de décomposition 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p.H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Viscosité cinématique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Solubilité dans l'eau : 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240"/>
        <w:ind w:right="-4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0" w:after="0" w:line="240"/>
        <w:ind w:right="2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&gt;200°C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0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1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Coefficient de partage n-octanol/eau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(log) : </w:t>
      </w:r>
    </w:p>
    <w:p>
      <w:pPr>
        <w:spacing w:before="0" w:after="111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Pression de vapeur : </w:t>
      </w:r>
    </w:p>
    <w:p>
      <w:pPr>
        <w:spacing w:before="0" w:after="109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relative (d20/20) :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Densité de vapeur relative : 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disponible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9.2. 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63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Conservation en mois :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Indice de réfraction à 20°C : 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12 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10. 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59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STABILITE ET REACTIVITE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10.1. Réactivité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Pas de danger particulier à signaler.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10.2. Stabilité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10.3. Possibilité de réactions dangereuses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établi.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1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5/8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10.4. Conditions à éviter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Rayons directs du soleil.Ne pas exposer à des températures très élevées ou très basses.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10.5. Matières incompatibles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contact avec les acides, les bases et les agents oxydants.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10.6. Produits de décomposition dangereux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Possibilité de formation de monoxyde, de dioxyde de carbone en cas de combustion.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11. 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TOXICOLOGIQUES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11.1. Informations sur les classes de danger telles que définies dans le règlement (CE) n° 1272/2008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162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Linalool </w:t>
      </w:r>
    </w:p>
    <w:p>
      <w:pPr>
        <w:tabs>
          <w:tab w:val="left" w:pos="226" w:leader="none"/>
        </w:tabs>
        <w:spacing w:before="0" w:after="162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2 790,00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alpha-Amylcinnamaldehyde </w:t>
      </w:r>
    </w:p>
    <w:p>
      <w:pPr>
        <w:tabs>
          <w:tab w:val="left" w:pos="226" w:leader="none"/>
        </w:tabs>
        <w:spacing w:before="0" w:after="0" w:line="287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3 730,00 mg/kg(Déterminée)     ETAC : Non Déterminée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Isoeugenol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  542,00 mg/kg(Déterminée)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ETAC : 1 912,00 mg/kg(Déterminée)    ETAI :     1,50 mg/l(Estimée)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9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Geraniol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ETAO : 3 600,00 mg/kg(Déterminée)     ETAC : Non Déterminée 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ETAI : Non Déterminée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5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11.2. Informations sur les autres dangers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12. 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98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ECOLOGIQUES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67" w:after="0" w:line="305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12.1. Toxicité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12.2. Persistance et dégradabilité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12.3. Potentiel de bioaccumulation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8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12.4. Mobilité dans le sol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6/8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12.5. Résultats des évaluations PBT et vPvB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Données non disponibles.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96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12.6. Propriétés perturbatrices endocriniennes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Non concerné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46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12.7. Autres effets néfastes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Eviter le rejet dans l'environnement.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13. 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ELIMINATION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13.1. Méthodes de traitement des déchets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Produit et emballages souillés : </w:t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évacuer conformément à la règlementation en vigueur.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14. 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5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CONCERNANT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9"/>
          <w:shd w:fill="auto" w:val="clear"/>
        </w:rPr>
        <w:t xml:space="preserve">Nomenclature Douanière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14.1. Numéro ONU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14.2. Nom d’expédition des Nations unies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2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14.3. Classe(s) de danger pour le transport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14.4. Groupe d’emballage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ADR/ADN/RID : NON REGLEMENTE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IMDG:NON REGLEMENTE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IATA :NON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3" w:after="0" w:line="30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14.5. Dangers pour l’environnement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IMDG : NON REGLEMENTE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5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14.6. Précautions particulières à prendre par l’utilisateur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Se référer à la section 2.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6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7/8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16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36"/>
          <w:shd w:fill="auto" w:val="clear"/>
        </w:rPr>
        <w:t xml:space="preserve">Fiche de données de securité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Tiaré - 10%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34" w:after="0" w:line="319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14.7. Transport maritime en vrac conformément aux instruments de l'OMI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Non applicable.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15. 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INFORMATIONS REGLEMENTAIRES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5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15.1. Réglementations/Législation particulières à la substance ou au mélange en matière de sécurité, 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santé et d’environnement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FDS établie selon le réglement (CE) 878/2020, 1272/2008 et 1907/2006 (REACH).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37" w:leader="none"/>
        </w:tabs>
        <w:spacing w:before="112" w:after="0" w:line="318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Helvetica" w:hAnsi="Helvetica" w:cs="Helvetica" w:eastAsia="Helvetica"/>
          <w:color w:val="000000"/>
          <w:spacing w:val="0"/>
          <w:position w:val="0"/>
          <w:sz w:val="19"/>
          <w:shd w:fill="auto" w:val="clear"/>
        </w:rPr>
        <w:t xml:space="preserve">15.2. Évaluation de la sécurité chimique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  <w:br/>
      </w:r>
      <w:r>
        <w:rPr>
          <w:rFonts w:ascii="Helvetica" w:hAnsi="Helvetica" w:cs="Helvetica" w:eastAsia="Helvetica"/>
          <w:color w:val="2D2D2D"/>
          <w:spacing w:val="0"/>
          <w:position w:val="0"/>
          <w:sz w:val="19"/>
          <w:shd w:fill="auto" w:val="clear"/>
        </w:rPr>
        <w:t xml:space="preserve">Non concerné.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16. 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0" w:after="0" w:line="254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  <w:t xml:space="preserve">AUTRES INFORMATIONS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Texte intégral des phrases H citées en point 3  :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3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 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3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d'ingestion ou de contact cutané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4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H302+H312+H332   Nocif en cas d’ingestion, de contact cutané ou d’inhalation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6" w:after="0" w:line="26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H302+H332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H317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H318 </w:t>
      </w:r>
    </w:p>
    <w:p>
      <w:pPr>
        <w:spacing w:before="106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H319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H335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H400 </w:t>
      </w:r>
    </w:p>
    <w:p>
      <w:pPr>
        <w:spacing w:before="104" w:after="0" w:line="240"/>
        <w:ind w:right="-2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H410 </w:t>
      </w:r>
    </w:p>
    <w:p>
      <w:pPr>
        <w:spacing w:before="106" w:after="0" w:line="240"/>
        <w:ind w:right="-1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H411 </w:t>
      </w:r>
    </w:p>
    <w:p>
      <w:pPr>
        <w:spacing w:before="106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6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Nocif en cas d’ingestion ou d’inhalation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irritation cutanée.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provoquer une allergie cutanée. </w:t>
      </w:r>
    </w:p>
    <w:p>
      <w:pPr>
        <w:spacing w:before="0" w:after="106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de graves lésions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Provoque une sévère irritation des yeux.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Peut irriter les voies respiratoires. </w:t>
      </w:r>
    </w:p>
    <w:p>
      <w:pPr>
        <w:spacing w:before="0" w:after="104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aquatiques. </w:t>
      </w:r>
    </w:p>
    <w:p>
      <w:pPr>
        <w:spacing w:before="0" w:after="0" w:line="261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Très toxique pour les organismes aquatiques, entraîne des effets néfastes à long terme.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8"/>
          <w:shd w:fill="auto" w:val="clear"/>
        </w:rPr>
        <w:t xml:space="preserve">Toxique pour les organismes aquatiques, entraîne des effets néfastes à long terme.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1" w:after="23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Ces indications sont fondées sur l'état actuel de nos connaissances, mais ne constituent pas une garantie quant aux propriétés du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</w: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produit et ne donnent pas lieu à un rapport juridique contractuel. </w:t>
      </w:r>
    </w:p>
    <w:p>
      <w:pPr>
        <w:spacing w:before="0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16"/>
          <w:shd w:fill="auto" w:val="clear"/>
        </w:rPr>
        <w:t xml:space="preserve">--------------------------------------------------------------------------------------------------------------------------------------------------------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3" w:after="0" w:line="240"/>
        <w:ind w:right="-56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000000"/>
          <w:spacing w:val="0"/>
          <w:position w:val="0"/>
          <w:sz w:val="16"/>
          <w:shd w:fill="auto" w:val="clear"/>
        </w:rPr>
        <w:t xml:space="preserve">8/8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