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Société :      </w:t>
      </w:r>
      <w:r>
        <w:rPr>
          <w:rFonts w:ascii="Helvetica" w:hAnsi="Helvetica" w:cs="Helvetica" w:eastAsia="Helvetica"/>
          <w:i/>
          <w:color w:val="000000"/>
          <w:spacing w:val="0"/>
          <w:position w:val="0"/>
          <w:sz w:val="19"/>
          <w:shd w:fill="auto" w:val="clear"/>
        </w:rPr>
        <w:t xml:space="preserve">(Nom de votre société) </w:t>
      </w:r>
    </w:p>
    <w:p>
      <w:pPr>
        <w:spacing w:before="0" w:after="0" w:line="416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36"/>
          <w:shd w:fill="auto" w:val="clear"/>
        </w:rPr>
        <w:t xml:space="preserve">Fiche de données de securité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90" w:after="0" w:line="38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Helvetica" w:hAnsi="Helvetica" w:cs="Helvetica" w:eastAsia="Helvetica"/>
          <w:b/>
          <w:color w:val="000000"/>
          <w:spacing w:val="0"/>
          <w:position w:val="0"/>
          <w:sz w:val="32"/>
          <w:shd w:fill="auto" w:val="clear"/>
        </w:rPr>
        <w:t xml:space="preserve">Freesia - 7%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26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1. 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26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IDENTIFICATION DE LA SUBSTANCE ET DE LA SOCIETE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65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1.1. Identification de produit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94" w:after="0" w:line="25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6"/>
          <w:shd w:fill="auto" w:val="clear"/>
        </w:rPr>
        <w:t xml:space="preserve">Freesia - 7%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UFI :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37" w:leader="none"/>
        </w:tabs>
        <w:spacing w:before="102" w:after="0" w:line="319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1.2. Utilisations identifiées pertinentes de la substance ou du mélange et utilisations déconseillées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Usage    : Utilisation par les consommateurs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98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1.3. Renseignements concernant le fournisseur de la fiche de données de sécurité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i/>
          <w:color w:val="000000"/>
          <w:spacing w:val="0"/>
          <w:position w:val="0"/>
          <w:sz w:val="19"/>
          <w:shd w:fill="auto" w:val="clear"/>
        </w:rPr>
        <w:t xml:space="preserve">(Adresse de votre société)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i/>
          <w:color w:val="000000"/>
          <w:spacing w:val="0"/>
          <w:position w:val="0"/>
          <w:sz w:val="19"/>
          <w:shd w:fill="auto" w:val="clear"/>
        </w:rPr>
        <w:t xml:space="preserve">(Adresse mail) </w:t>
      </w:r>
    </w:p>
    <w:p>
      <w:pPr>
        <w:spacing w:before="0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i/>
          <w:color w:val="000000"/>
          <w:spacing w:val="0"/>
          <w:position w:val="0"/>
          <w:sz w:val="19"/>
          <w:shd w:fill="auto" w:val="clear"/>
        </w:rPr>
        <w:t xml:space="preserve">(Numero de téléphone)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37" w:leader="none"/>
        </w:tabs>
        <w:spacing w:before="197" w:after="0" w:line="326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1.4 Numéro d'appel d'urgence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b/>
          <w:color w:val="000000"/>
          <w:spacing w:val="0"/>
          <w:position w:val="0"/>
          <w:sz w:val="19"/>
          <w:shd w:fill="auto" w:val="clear"/>
        </w:rPr>
        <w:t xml:space="preserve">ORFILA </w:t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: 00 33 1 45 42 59 59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45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2. 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45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IDENTIFICATION DES DANGERS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37" w:leader="none"/>
        </w:tabs>
        <w:spacing w:before="167" w:after="0" w:line="305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2.1. Classification de la substance ou du mélange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Classification selon le règlement 1272/2008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76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6"/>
          <w:shd w:fill="auto" w:val="clear"/>
        </w:rPr>
        <w:t xml:space="preserve">(Législation CLP)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25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6"/>
          <w:shd w:fill="auto" w:val="clear"/>
        </w:rPr>
        <w:t xml:space="preserve">EUH208 - Contient ethyl linalool (3,7-Dimethyl-1,6-nonadien-3-ol), alpha-Hexylcinnamaldehyde, Geraniol, Linalool.  Peut produire une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br/>
      </w:r>
      <w:r>
        <w:rPr>
          <w:rFonts w:ascii="Arial" w:hAnsi="Arial" w:cs="Arial" w:eastAsia="Arial"/>
          <w:color w:val="000000"/>
          <w:spacing w:val="0"/>
          <w:position w:val="0"/>
          <w:sz w:val="16"/>
          <w:shd w:fill="auto" w:val="clear"/>
        </w:rPr>
        <w:t xml:space="preserve">réaction allergique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37" w:leader="none"/>
        </w:tabs>
        <w:spacing w:before="191" w:after="0" w:line="305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2.2. Elements d'étiquetage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Classification selon le règlement 1272/2008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76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6"/>
          <w:shd w:fill="auto" w:val="clear"/>
        </w:rPr>
        <w:t xml:space="preserve">(Législation CLP)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85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6"/>
          <w:shd w:fill="auto" w:val="clear"/>
        </w:rPr>
        <w:t xml:space="preserve">1/8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tbl>
      <w:tblPr>
        <w:tblInd w:w="184" w:type="dxa"/>
      </w:tblPr>
      <w:tblGrid>
        <w:gridCol w:w="1498"/>
        <w:gridCol w:w="2749"/>
        <w:gridCol w:w="2380"/>
        <w:gridCol w:w="2073"/>
        <w:gridCol w:w="903"/>
      </w:tblGrid>
      <w:tr>
        <w:trPr>
          <w:trHeight w:val="482" w:hRule="auto"/>
          <w:jc w:val="left"/>
        </w:trPr>
        <w:tc>
          <w:tcPr>
            <w:tcW w:w="1498" w:type="dxa"/>
            <w:tcBorders>
              <w:top w:val="single" w:color="000000" w:sz="0"/>
              <w:left w:val="single" w:color="000000" w:sz="0"/>
              <w:bottom w:val="single" w:color="c0c0c0" w:sz="0"/>
              <w:right w:val="single" w:color="000000" w:sz="0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274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d'identification </w:t>
            </w:r>
          </w:p>
        </w:tc>
        <w:tc>
          <w:tcPr>
            <w:tcW w:w="2749" w:type="dxa"/>
            <w:tcBorders>
              <w:top w:val="single" w:color="000000" w:sz="0"/>
              <w:left w:val="single" w:color="000000" w:sz="0"/>
              <w:bottom w:val="single" w:color="c0c0c0" w:sz="0"/>
              <w:right w:val="single" w:color="000000" w:sz="0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180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Substance </w:t>
            </w:r>
          </w:p>
        </w:tc>
        <w:tc>
          <w:tcPr>
            <w:tcW w:w="2380" w:type="dxa"/>
            <w:tcBorders>
              <w:top w:val="single" w:color="000000" w:sz="0"/>
              <w:left w:val="single" w:color="000000" w:sz="0"/>
              <w:bottom w:val="single" w:color="c0c0c0" w:sz="0"/>
              <w:right w:val="single" w:color="000000" w:sz="0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180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Classes danger &amp; Phrases H </w:t>
            </w:r>
          </w:p>
        </w:tc>
        <w:tc>
          <w:tcPr>
            <w:tcW w:w="2073" w:type="dxa"/>
            <w:tcBorders>
              <w:top w:val="single" w:color="000000" w:sz="0"/>
              <w:left w:val="single" w:color="000000" w:sz="0"/>
              <w:bottom w:val="single" w:color="c0c0c0" w:sz="0"/>
              <w:right w:val="single" w:color="000000" w:sz="0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tabs>
                <w:tab w:val="left" w:pos="471" w:leader="none"/>
              </w:tabs>
              <w:spacing w:before="87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LCS / Facteurs M / ATE /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br/>
              <w:tab/>
            </w:r>
            <w:r>
              <w:rPr>
                <w:rFonts w:ascii="Helvetica" w:hAnsi="Helvetica" w:cs="Helvetica" w:eastAsia="Helvetica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VLEP-VMEP </w:t>
            </w:r>
          </w:p>
        </w:tc>
        <w:tc>
          <w:tcPr>
            <w:tcW w:w="903" w:type="dxa"/>
            <w:tcBorders>
              <w:top w:val="single" w:color="000000" w:sz="0"/>
              <w:left w:val="single" w:color="000000" w:sz="0"/>
              <w:bottom w:val="single" w:color="c0c0c0" w:sz="0"/>
              <w:right w:val="single" w:color="000000" w:sz="0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87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Pourcent </w:t>
            </w:r>
          </w:p>
        </w:tc>
      </w:tr>
      <w:tr>
        <w:trPr>
          <w:trHeight w:val="746" w:hRule="auto"/>
          <w:jc w:val="left"/>
        </w:trPr>
        <w:tc>
          <w:tcPr>
            <w:tcW w:w="1498" w:type="dxa"/>
            <w:tcBorders>
              <w:top w:val="single" w:color="c0c0c0" w:sz="0"/>
              <w:left w:val="single" w:color="c0c0c0" w:sz="0"/>
              <w:bottom w:val="single" w:color="c0c0c0" w:sz="0"/>
              <w:right w:val="single" w:color="c0c0c0" w:sz="0"/>
            </w:tcBorders>
            <w:shd w:color="000000" w:fill="ffffff" w:val="clear"/>
            <w:tcMar>
              <w:left w:w="255" w:type="dxa"/>
              <w:right w:w="255" w:type="dxa"/>
            </w:tcMar>
            <w:vAlign w:val="top"/>
          </w:tcPr>
          <w:p>
            <w:pPr>
              <w:spacing w:before="87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CAS# 106-24-1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br/>
            </w: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EINECS# 203-377-1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br/>
            </w: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REACH#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br/>
            </w: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01-2119552430-49 </w:t>
            </w:r>
          </w:p>
        </w:tc>
        <w:tc>
          <w:tcPr>
            <w:tcW w:w="2749" w:type="dxa"/>
            <w:tcBorders>
              <w:top w:val="single" w:color="c0c0c0" w:sz="0"/>
              <w:left w:val="single" w:color="c0c0c0" w:sz="0"/>
              <w:bottom w:val="single" w:color="c0c0c0" w:sz="0"/>
              <w:right w:val="single" w:color="c0c0c0" w:sz="0"/>
            </w:tcBorders>
            <w:shd w:color="000000" w:fill="ffffff" w:val="clear"/>
            <w:tcMar>
              <w:left w:w="255" w:type="dxa"/>
              <w:right w:w="255" w:type="dxa"/>
            </w:tcMar>
            <w:vAlign w:val="top"/>
          </w:tcPr>
          <w:p>
            <w:pPr>
              <w:spacing w:before="87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Geraniol </w:t>
            </w:r>
          </w:p>
        </w:tc>
        <w:tc>
          <w:tcPr>
            <w:tcW w:w="2380" w:type="dxa"/>
            <w:tcBorders>
              <w:top w:val="single" w:color="c0c0c0" w:sz="0"/>
              <w:left w:val="single" w:color="c0c0c0" w:sz="0"/>
              <w:bottom w:val="single" w:color="c0c0c0" w:sz="0"/>
              <w:right w:val="single" w:color="c0c0c0" w:sz="0"/>
            </w:tcBorders>
            <w:shd w:color="000000" w:fill="ffffff" w:val="clear"/>
            <w:tcMar>
              <w:left w:w="255" w:type="dxa"/>
              <w:right w:w="255" w:type="dxa"/>
            </w:tcMar>
            <w:vAlign w:val="top"/>
          </w:tcPr>
          <w:p>
            <w:pPr>
              <w:spacing w:before="87" w:after="0" w:line="240"/>
              <w:ind w:right="-567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Eye Dam. 1, Skin Irrit. 2, Skin Sens.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br/>
            </w: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1A </w:t>
            </w:r>
          </w:p>
          <w:p>
            <w:pPr>
              <w:spacing w:before="0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H318, H315, H317 </w:t>
            </w:r>
          </w:p>
        </w:tc>
        <w:tc>
          <w:tcPr>
            <w:tcW w:w="2073" w:type="dxa"/>
            <w:tcBorders>
              <w:top w:val="single" w:color="c0c0c0" w:sz="0"/>
              <w:left w:val="single" w:color="c0c0c0" w:sz="0"/>
              <w:bottom w:val="single" w:color="c0c0c0" w:sz="0"/>
              <w:right w:val="single" w:color="c0c0c0" w:sz="0"/>
            </w:tcBorders>
            <w:shd w:color="000000" w:fill="ffffff" w:val="clear"/>
            <w:tcMar>
              <w:left w:w="255" w:type="dxa"/>
              <w:right w:w="255" w:type="dxa"/>
            </w:tcMar>
            <w:vAlign w:val="top"/>
          </w:tcPr>
          <w:p>
            <w:pPr>
              <w:spacing w:before="0" w:after="0" w:line="416"/>
              <w:ind w:right="-567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03" w:type="dxa"/>
            <w:tcBorders>
              <w:top w:val="single" w:color="c0c0c0" w:sz="0"/>
              <w:left w:val="single" w:color="c0c0c0" w:sz="0"/>
              <w:bottom w:val="single" w:color="c0c0c0" w:sz="0"/>
              <w:right w:val="single" w:color="c0c0c0" w:sz="0"/>
            </w:tcBorders>
            <w:shd w:color="000000" w:fill="ffffff" w:val="clear"/>
            <w:tcMar>
              <w:left w:w="255" w:type="dxa"/>
              <w:right w:w="255" w:type="dxa"/>
            </w:tcMar>
            <w:vAlign w:val="top"/>
          </w:tcPr>
          <w:p>
            <w:pPr>
              <w:spacing w:before="87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[ 0-5 ] </w:t>
            </w:r>
          </w:p>
        </w:tc>
      </w:tr>
      <w:tr>
        <w:trPr>
          <w:trHeight w:val="746" w:hRule="auto"/>
          <w:jc w:val="left"/>
        </w:trPr>
        <w:tc>
          <w:tcPr>
            <w:tcW w:w="1498" w:type="dxa"/>
            <w:tcBorders>
              <w:top w:val="single" w:color="c0c0c0" w:sz="0"/>
              <w:left w:val="single" w:color="c0c0c0" w:sz="0"/>
              <w:bottom w:val="single" w:color="c0c0c0" w:sz="0"/>
              <w:right w:val="single" w:color="c0c0c0" w:sz="0"/>
            </w:tcBorders>
            <w:shd w:color="000000" w:fill="ffffff" w:val="clear"/>
            <w:tcMar>
              <w:left w:w="255" w:type="dxa"/>
              <w:right w:w="255" w:type="dxa"/>
            </w:tcMar>
            <w:vAlign w:val="top"/>
          </w:tcPr>
          <w:p>
            <w:pPr>
              <w:spacing w:before="87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CAS# 78-70-6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br/>
            </w: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EINECS# 201-134-4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br/>
            </w: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REACH#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br/>
            </w: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01-2119474016-42 </w:t>
            </w:r>
          </w:p>
        </w:tc>
        <w:tc>
          <w:tcPr>
            <w:tcW w:w="2749" w:type="dxa"/>
            <w:tcBorders>
              <w:top w:val="single" w:color="c0c0c0" w:sz="0"/>
              <w:left w:val="single" w:color="c0c0c0" w:sz="0"/>
              <w:bottom w:val="single" w:color="c0c0c0" w:sz="0"/>
              <w:right w:val="single" w:color="c0c0c0" w:sz="0"/>
            </w:tcBorders>
            <w:shd w:color="000000" w:fill="ffffff" w:val="clear"/>
            <w:tcMar>
              <w:left w:w="255" w:type="dxa"/>
              <w:right w:w="255" w:type="dxa"/>
            </w:tcMar>
            <w:vAlign w:val="top"/>
          </w:tcPr>
          <w:p>
            <w:pPr>
              <w:spacing w:before="87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Linalool </w:t>
            </w:r>
          </w:p>
        </w:tc>
        <w:tc>
          <w:tcPr>
            <w:tcW w:w="2380" w:type="dxa"/>
            <w:tcBorders>
              <w:top w:val="single" w:color="c0c0c0" w:sz="0"/>
              <w:left w:val="single" w:color="c0c0c0" w:sz="0"/>
              <w:bottom w:val="single" w:color="c0c0c0" w:sz="0"/>
              <w:right w:val="single" w:color="c0c0c0" w:sz="0"/>
            </w:tcBorders>
            <w:shd w:color="000000" w:fill="ffffff" w:val="clear"/>
            <w:tcMar>
              <w:left w:w="255" w:type="dxa"/>
              <w:right w:w="255" w:type="dxa"/>
            </w:tcMar>
            <w:vAlign w:val="top"/>
          </w:tcPr>
          <w:p>
            <w:pPr>
              <w:spacing w:before="87" w:after="0" w:line="240"/>
              <w:ind w:right="-567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Eye Irrit. 2, Skin Irrit. 2, Skin Sens.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br/>
            </w: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1B </w:t>
            </w:r>
          </w:p>
          <w:p>
            <w:pPr>
              <w:spacing w:before="0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H319, H315, H317 </w:t>
            </w:r>
          </w:p>
        </w:tc>
        <w:tc>
          <w:tcPr>
            <w:tcW w:w="2073" w:type="dxa"/>
            <w:tcBorders>
              <w:top w:val="single" w:color="c0c0c0" w:sz="0"/>
              <w:left w:val="single" w:color="c0c0c0" w:sz="0"/>
              <w:bottom w:val="single" w:color="c0c0c0" w:sz="0"/>
              <w:right w:val="single" w:color="c0c0c0" w:sz="0"/>
            </w:tcBorders>
            <w:shd w:color="000000" w:fill="ffffff" w:val="clear"/>
            <w:tcMar>
              <w:left w:w="255" w:type="dxa"/>
              <w:right w:w="255" w:type="dxa"/>
            </w:tcMar>
            <w:vAlign w:val="top"/>
          </w:tcPr>
          <w:p>
            <w:pPr>
              <w:spacing w:before="0" w:after="0" w:line="416"/>
              <w:ind w:right="-567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03" w:type="dxa"/>
            <w:tcBorders>
              <w:top w:val="single" w:color="c0c0c0" w:sz="0"/>
              <w:left w:val="single" w:color="c0c0c0" w:sz="0"/>
              <w:bottom w:val="single" w:color="c0c0c0" w:sz="0"/>
              <w:right w:val="single" w:color="c0c0c0" w:sz="0"/>
            </w:tcBorders>
            <w:shd w:color="000000" w:fill="ffffff" w:val="clear"/>
            <w:tcMar>
              <w:left w:w="255" w:type="dxa"/>
              <w:right w:w="255" w:type="dxa"/>
            </w:tcMar>
            <w:vAlign w:val="top"/>
          </w:tcPr>
          <w:p>
            <w:pPr>
              <w:spacing w:before="87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[ 0-5 ] </w:t>
            </w:r>
          </w:p>
        </w:tc>
      </w:tr>
      <w:tr>
        <w:trPr>
          <w:trHeight w:val="588" w:hRule="auto"/>
          <w:jc w:val="left"/>
        </w:trPr>
        <w:tc>
          <w:tcPr>
            <w:tcW w:w="1498" w:type="dxa"/>
            <w:tcBorders>
              <w:top w:val="single" w:color="c0c0c0" w:sz="0"/>
              <w:left w:val="single" w:color="c0c0c0" w:sz="0"/>
              <w:bottom w:val="single" w:color="c0c0c0" w:sz="0"/>
              <w:right w:val="single" w:color="c0c0c0" w:sz="0"/>
            </w:tcBorders>
            <w:shd w:color="000000" w:fill="ffffff" w:val="clear"/>
            <w:tcMar>
              <w:left w:w="255" w:type="dxa"/>
              <w:right w:w="255" w:type="dxa"/>
            </w:tcMar>
            <w:vAlign w:val="top"/>
          </w:tcPr>
          <w:p>
            <w:pPr>
              <w:spacing w:before="86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CAS# 101-86-0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br/>
            </w: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EINECS# 202-983-3 </w:t>
            </w:r>
          </w:p>
        </w:tc>
        <w:tc>
          <w:tcPr>
            <w:tcW w:w="2749" w:type="dxa"/>
            <w:tcBorders>
              <w:top w:val="single" w:color="c0c0c0" w:sz="0"/>
              <w:left w:val="single" w:color="c0c0c0" w:sz="0"/>
              <w:bottom w:val="single" w:color="c0c0c0" w:sz="0"/>
              <w:right w:val="single" w:color="c0c0c0" w:sz="0"/>
            </w:tcBorders>
            <w:shd w:color="000000" w:fill="ffffff" w:val="clear"/>
            <w:tcMar>
              <w:left w:w="255" w:type="dxa"/>
              <w:right w:w="255" w:type="dxa"/>
            </w:tcMar>
            <w:vAlign w:val="top"/>
          </w:tcPr>
          <w:p>
            <w:pPr>
              <w:spacing w:before="86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alpha-Hexylcinnamaldehyde </w:t>
            </w:r>
          </w:p>
        </w:tc>
        <w:tc>
          <w:tcPr>
            <w:tcW w:w="2380" w:type="dxa"/>
            <w:tcBorders>
              <w:top w:val="single" w:color="c0c0c0" w:sz="0"/>
              <w:left w:val="single" w:color="c0c0c0" w:sz="0"/>
              <w:bottom w:val="single" w:color="c0c0c0" w:sz="0"/>
              <w:right w:val="single" w:color="c0c0c0" w:sz="0"/>
            </w:tcBorders>
            <w:shd w:color="000000" w:fill="ffffff" w:val="clear"/>
            <w:tcMar>
              <w:left w:w="255" w:type="dxa"/>
              <w:right w:w="255" w:type="dxa"/>
            </w:tcMar>
            <w:vAlign w:val="top"/>
          </w:tcPr>
          <w:p>
            <w:pPr>
              <w:spacing w:before="86" w:after="0" w:line="240"/>
              <w:ind w:right="-567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Aquatic Acute 1, Aquatic Chronic 2,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br/>
            </w: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Skin Sens. 1B </w:t>
            </w:r>
          </w:p>
          <w:p>
            <w:pPr>
              <w:spacing w:before="0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H400, H411, H317 </w:t>
            </w:r>
          </w:p>
        </w:tc>
        <w:tc>
          <w:tcPr>
            <w:tcW w:w="2073" w:type="dxa"/>
            <w:tcBorders>
              <w:top w:val="single" w:color="c0c0c0" w:sz="0"/>
              <w:left w:val="single" w:color="c0c0c0" w:sz="0"/>
              <w:bottom w:val="single" w:color="c0c0c0" w:sz="0"/>
              <w:right w:val="single" w:color="c0c0c0" w:sz="0"/>
            </w:tcBorders>
            <w:shd w:color="000000" w:fill="ffffff" w:val="clear"/>
            <w:tcMar>
              <w:left w:w="255" w:type="dxa"/>
              <w:right w:w="255" w:type="dxa"/>
            </w:tcMar>
            <w:vAlign w:val="top"/>
          </w:tcPr>
          <w:p>
            <w:pPr>
              <w:spacing w:before="0" w:after="0" w:line="416"/>
              <w:ind w:right="-567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03" w:type="dxa"/>
            <w:tcBorders>
              <w:top w:val="single" w:color="c0c0c0" w:sz="0"/>
              <w:left w:val="single" w:color="c0c0c0" w:sz="0"/>
              <w:bottom w:val="single" w:color="c0c0c0" w:sz="0"/>
              <w:right w:val="single" w:color="c0c0c0" w:sz="0"/>
            </w:tcBorders>
            <w:shd w:color="000000" w:fill="ffffff" w:val="clear"/>
            <w:tcMar>
              <w:left w:w="255" w:type="dxa"/>
              <w:right w:w="255" w:type="dxa"/>
            </w:tcMar>
            <w:vAlign w:val="top"/>
          </w:tcPr>
          <w:p>
            <w:pPr>
              <w:spacing w:before="86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[ 0-5 ] </w:t>
            </w:r>
          </w:p>
        </w:tc>
      </w:tr>
      <w:tr>
        <w:trPr>
          <w:trHeight w:val="746" w:hRule="auto"/>
          <w:jc w:val="left"/>
        </w:trPr>
        <w:tc>
          <w:tcPr>
            <w:tcW w:w="1498" w:type="dxa"/>
            <w:tcBorders>
              <w:top w:val="single" w:color="c0c0c0" w:sz="0"/>
              <w:left w:val="single" w:color="c0c0c0" w:sz="0"/>
              <w:bottom w:val="single" w:color="c0c0c0" w:sz="0"/>
              <w:right w:val="single" w:color="c0c0c0" w:sz="0"/>
            </w:tcBorders>
            <w:shd w:color="000000" w:fill="ffffff" w:val="clear"/>
            <w:tcMar>
              <w:left w:w="255" w:type="dxa"/>
              <w:right w:w="255" w:type="dxa"/>
            </w:tcMar>
            <w:vAlign w:val="top"/>
          </w:tcPr>
          <w:p>
            <w:pPr>
              <w:spacing w:before="85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CAS# 10339-55-6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br/>
            </w: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EINECS# 233-732-6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br/>
            </w: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REACH#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br/>
            </w: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01-2119969272-32 </w:t>
            </w:r>
          </w:p>
        </w:tc>
        <w:tc>
          <w:tcPr>
            <w:tcW w:w="2749" w:type="dxa"/>
            <w:tcBorders>
              <w:top w:val="single" w:color="c0c0c0" w:sz="0"/>
              <w:left w:val="single" w:color="c0c0c0" w:sz="0"/>
              <w:bottom w:val="single" w:color="c0c0c0" w:sz="0"/>
              <w:right w:val="single" w:color="c0c0c0" w:sz="0"/>
            </w:tcBorders>
            <w:shd w:color="000000" w:fill="ffffff" w:val="clear"/>
            <w:tcMar>
              <w:left w:w="255" w:type="dxa"/>
              <w:right w:w="255" w:type="dxa"/>
            </w:tcMar>
            <w:vAlign w:val="top"/>
          </w:tcPr>
          <w:p>
            <w:pPr>
              <w:spacing w:before="85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ethyl linalool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br/>
            </w: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(3,7-Dimethyl-1,6-nonadien-3-ol) </w:t>
            </w:r>
          </w:p>
        </w:tc>
        <w:tc>
          <w:tcPr>
            <w:tcW w:w="2380" w:type="dxa"/>
            <w:tcBorders>
              <w:top w:val="single" w:color="c0c0c0" w:sz="0"/>
              <w:left w:val="single" w:color="c0c0c0" w:sz="0"/>
              <w:bottom w:val="single" w:color="c0c0c0" w:sz="0"/>
              <w:right w:val="single" w:color="c0c0c0" w:sz="0"/>
            </w:tcBorders>
            <w:shd w:color="000000" w:fill="ffffff" w:val="clear"/>
            <w:tcMar>
              <w:left w:w="255" w:type="dxa"/>
              <w:right w:w="255" w:type="dxa"/>
            </w:tcMar>
            <w:vAlign w:val="top"/>
          </w:tcPr>
          <w:p>
            <w:pPr>
              <w:spacing w:before="85" w:after="0" w:line="240"/>
              <w:ind w:right="-567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Eye Irrit. 2, Skin Irrit. 2, Skin Sens.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br/>
            </w: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1B </w:t>
            </w:r>
          </w:p>
          <w:p>
            <w:pPr>
              <w:spacing w:before="0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H319, H315, H317 </w:t>
            </w:r>
          </w:p>
        </w:tc>
        <w:tc>
          <w:tcPr>
            <w:tcW w:w="2073" w:type="dxa"/>
            <w:tcBorders>
              <w:top w:val="single" w:color="c0c0c0" w:sz="0"/>
              <w:left w:val="single" w:color="c0c0c0" w:sz="0"/>
              <w:bottom w:val="single" w:color="c0c0c0" w:sz="0"/>
              <w:right w:val="single" w:color="c0c0c0" w:sz="0"/>
            </w:tcBorders>
            <w:shd w:color="000000" w:fill="ffffff" w:val="clear"/>
            <w:tcMar>
              <w:left w:w="255" w:type="dxa"/>
              <w:right w:w="255" w:type="dxa"/>
            </w:tcMar>
            <w:vAlign w:val="top"/>
          </w:tcPr>
          <w:p>
            <w:pPr>
              <w:spacing w:before="0" w:after="0" w:line="416"/>
              <w:ind w:right="-567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03" w:type="dxa"/>
            <w:tcBorders>
              <w:top w:val="single" w:color="c0c0c0" w:sz="0"/>
              <w:left w:val="single" w:color="c0c0c0" w:sz="0"/>
              <w:bottom w:val="single" w:color="c0c0c0" w:sz="0"/>
              <w:right w:val="single" w:color="c0c0c0" w:sz="0"/>
            </w:tcBorders>
            <w:shd w:color="000000" w:fill="ffffff" w:val="clear"/>
            <w:tcMar>
              <w:left w:w="255" w:type="dxa"/>
              <w:right w:w="255" w:type="dxa"/>
            </w:tcMar>
            <w:vAlign w:val="top"/>
          </w:tcPr>
          <w:p>
            <w:pPr>
              <w:spacing w:before="85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[ 0-5 ] </w:t>
            </w:r>
          </w:p>
        </w:tc>
      </w:tr>
    </w:tbl>
    <w:p>
      <w:pPr>
        <w:spacing w:before="0" w:after="0" w:line="416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416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36"/>
          <w:shd w:fill="auto" w:val="clear"/>
        </w:rPr>
        <w:t xml:space="preserve">Fiche de données de securité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67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6"/>
          <w:shd w:fill="auto" w:val="clear"/>
        </w:rPr>
        <w:t xml:space="preserve">Freesia - 7%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34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6"/>
          <w:shd w:fill="auto" w:val="clear"/>
        </w:rPr>
        <w:t xml:space="preserve">P102 - Tenir hors de portée des enfants. 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br/>
      </w:r>
      <w:r>
        <w:rPr>
          <w:rFonts w:ascii="Arial" w:hAnsi="Arial" w:cs="Arial" w:eastAsia="Arial"/>
          <w:color w:val="000000"/>
          <w:spacing w:val="0"/>
          <w:position w:val="0"/>
          <w:sz w:val="16"/>
          <w:shd w:fill="auto" w:val="clear"/>
        </w:rPr>
        <w:t xml:space="preserve">EUH208 - Contient ethyl linalool (3,7-Dimethyl-1,6-nonadien-3-ol), alpha-Hexylcinnamaldehyde, Geraniol, Linalool.  Peut produire une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br/>
      </w:r>
      <w:r>
        <w:rPr>
          <w:rFonts w:ascii="Arial" w:hAnsi="Arial" w:cs="Arial" w:eastAsia="Arial"/>
          <w:color w:val="000000"/>
          <w:spacing w:val="0"/>
          <w:position w:val="0"/>
          <w:sz w:val="16"/>
          <w:shd w:fill="auto" w:val="clear"/>
        </w:rPr>
        <w:t xml:space="preserve">réaction allergique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51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2.3. Autres dangers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2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3. 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2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COMPOSITION / INFORMATIONS SUR LES COMPOSANTS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37" w:leader="none"/>
        </w:tabs>
        <w:spacing w:before="165" w:after="0" w:line="306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3.1. Substances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Non applicable.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10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3.2. Mélanges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86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Helvetica" w:hAnsi="Helvetica" w:cs="Helvetica" w:eastAsia="Helvetica"/>
          <w:b/>
          <w:color w:val="000000"/>
          <w:spacing w:val="0"/>
          <w:position w:val="0"/>
          <w:sz w:val="16"/>
          <w:shd w:fill="auto" w:val="clear"/>
        </w:rPr>
        <w:t xml:space="preserve">Numéro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74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Helvetica" w:hAnsi="Helvetica" w:cs="Helvetica" w:eastAsia="Helvetica"/>
          <w:b/>
          <w:color w:val="000000"/>
          <w:spacing w:val="0"/>
          <w:position w:val="0"/>
          <w:sz w:val="16"/>
          <w:shd w:fill="auto" w:val="clear"/>
        </w:rPr>
        <w:t xml:space="preserve">age %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20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Les VLEP et VMEP des différentes substances sont renseignées dans le tableau ci-dessus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92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4. 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92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PREMIERS SECOURS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67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4.1. Description des premiers secours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84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b/>
          <w:color w:val="000000"/>
          <w:spacing w:val="0"/>
          <w:position w:val="0"/>
          <w:sz w:val="19"/>
          <w:shd w:fill="auto" w:val="clear"/>
        </w:rPr>
        <w:t xml:space="preserve">Contact avec la peau : </w:t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Laver immédiatement avec de l'eau. </w:t>
      </w:r>
    </w:p>
    <w:p>
      <w:pPr>
        <w:spacing w:before="0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b/>
          <w:color w:val="000000"/>
          <w:spacing w:val="0"/>
          <w:position w:val="0"/>
          <w:sz w:val="19"/>
          <w:shd w:fill="auto" w:val="clear"/>
        </w:rPr>
        <w:t xml:space="preserve">Contact avec les yeux : </w:t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Rinçage abondant à l'eau (15 minutes les paupières ouvertes).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b/>
          <w:color w:val="000000"/>
          <w:spacing w:val="0"/>
          <w:position w:val="0"/>
          <w:sz w:val="19"/>
          <w:shd w:fill="auto" w:val="clear"/>
        </w:rPr>
        <w:t xml:space="preserve">En cas d'ingestion : </w:t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Se rincer la bouche avec de l'eau.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37" w:leader="none"/>
        </w:tabs>
        <w:spacing w:before="92" w:after="0" w:line="319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4.2. Principaux symptômes et effets, aigus et différés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Données non disponibles.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37" w:leader="none"/>
        </w:tabs>
        <w:spacing w:before="98" w:after="0" w:line="319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4.3. Indication des éventuels soins médicaux immédiats et traitements particuliers nécessaires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Si les troubles persistent, consulter un médecin.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06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6"/>
          <w:shd w:fill="auto" w:val="clear"/>
        </w:rPr>
        <w:t xml:space="preserve">2/8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tbl>
      <w:tblPr>
        <w:tblInd w:w="9" w:type="dxa"/>
      </w:tblPr>
      <w:tblGrid>
        <w:gridCol w:w="3684"/>
        <w:gridCol w:w="285"/>
        <w:gridCol w:w="6521"/>
      </w:tblGrid>
      <w:tr>
        <w:trPr>
          <w:trHeight w:val="1053" w:hRule="auto"/>
          <w:jc w:val="left"/>
        </w:trPr>
        <w:tc>
          <w:tcPr>
            <w:tcW w:w="3684" w:type="dxa"/>
            <w:tcBorders>
              <w:top w:val="single" w:color="ffffff" w:sz="1"/>
              <w:left w:val="single" w:color="ffffff" w:sz="1"/>
              <w:bottom w:val="single" w:color="ffffff" w:sz="1"/>
              <w:right w:val="single" w:color="ffffff" w:sz="1"/>
            </w:tcBorders>
            <w:shd w:color="auto" w:fill="ffffff" w:val="clear"/>
            <w:tcMar>
              <w:left w:w="154" w:type="dxa"/>
              <w:right w:w="154" w:type="dxa"/>
            </w:tcMar>
            <w:vAlign w:val="top"/>
          </w:tcPr>
          <w:p>
            <w:pPr>
              <w:spacing w:before="36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FFFFFF"/>
                <w:spacing w:val="0"/>
                <w:position w:val="0"/>
                <w:sz w:val="19"/>
                <w:shd w:fill="auto" w:val="clear"/>
              </w:rPr>
              <w:t xml:space="preserve">Instructions de lutte contre l'incendie </w:t>
            </w:r>
          </w:p>
        </w:tc>
        <w:tc>
          <w:tcPr>
            <w:tcW w:w="285" w:type="dxa"/>
            <w:tcBorders>
              <w:top w:val="single" w:color="ffffff" w:sz="1"/>
              <w:left w:val="single" w:color="ffffff" w:sz="1"/>
              <w:bottom w:val="single" w:color="ffffff" w:sz="1"/>
              <w:right w:val="single" w:color="ffffff" w:sz="1"/>
            </w:tcBorders>
            <w:shd w:color="auto" w:fill="ffffff" w:val="clear"/>
            <w:tcMar>
              <w:left w:w="154" w:type="dxa"/>
              <w:right w:w="154" w:type="dxa"/>
            </w:tcMar>
            <w:vAlign w:val="top"/>
          </w:tcPr>
          <w:p>
            <w:pPr>
              <w:spacing w:before="34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FFFFFF"/>
                <w:spacing w:val="0"/>
                <w:position w:val="0"/>
                <w:sz w:val="19"/>
                <w:shd w:fill="auto" w:val="clear"/>
              </w:rPr>
              <w:t xml:space="preserve">: </w:t>
            </w:r>
          </w:p>
        </w:tc>
        <w:tc>
          <w:tcPr>
            <w:tcW w:w="6521" w:type="dxa"/>
            <w:tcBorders>
              <w:top w:val="single" w:color="ffffff" w:sz="1"/>
              <w:left w:val="single" w:color="ffffff" w:sz="1"/>
              <w:bottom w:val="single" w:color="ffffff" w:sz="1"/>
              <w:right w:val="single" w:color="ffffff" w:sz="1"/>
            </w:tcBorders>
            <w:shd w:color="auto" w:fill="ffffff" w:val="clear"/>
            <w:tcMar>
              <w:left w:w="154" w:type="dxa"/>
              <w:right w:w="154" w:type="dxa"/>
            </w:tcMar>
            <w:vAlign w:val="top"/>
          </w:tcPr>
          <w:p>
            <w:pPr>
              <w:spacing w:before="34" w:after="0" w:line="255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FFFFFF"/>
                <w:spacing w:val="0"/>
                <w:position w:val="0"/>
                <w:sz w:val="19"/>
                <w:shd w:fill="auto" w:val="clear"/>
              </w:rPr>
              <w:t xml:space="preserve">Refroidir les conteneurs exposés par pulvérisation ou brouillard d'eau.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9"/>
                <w:shd w:fill="auto" w:val="clear"/>
              </w:rPr>
              <w:br/>
            </w:r>
            <w:r>
              <w:rPr>
                <w:rFonts w:ascii="Helvetica" w:hAnsi="Helvetica" w:cs="Helvetica" w:eastAsia="Helvetica"/>
                <w:color w:val="FFFFFF"/>
                <w:spacing w:val="0"/>
                <w:position w:val="0"/>
                <w:sz w:val="19"/>
                <w:shd w:fill="auto" w:val="clear"/>
              </w:rPr>
              <w:t xml:space="preserve">Soyez prudent lors du combat de tout incendie de produits chimiques.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9"/>
                <w:shd w:fill="auto" w:val="clear"/>
              </w:rPr>
              <w:br/>
            </w:r>
            <w:r>
              <w:rPr>
                <w:rFonts w:ascii="Helvetica" w:hAnsi="Helvetica" w:cs="Helvetica" w:eastAsia="Helvetica"/>
                <w:color w:val="FFFFFF"/>
                <w:spacing w:val="0"/>
                <w:position w:val="0"/>
                <w:sz w:val="19"/>
                <w:shd w:fill="auto" w:val="clear"/>
              </w:rPr>
              <w:t xml:space="preserve">Eviter que les eaux usées de lutte contre l'incendie contaminent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9"/>
                <w:shd w:fill="auto" w:val="clear"/>
              </w:rPr>
              <w:br/>
            </w:r>
            <w:r>
              <w:rPr>
                <w:rFonts w:ascii="Helvetica" w:hAnsi="Helvetica" w:cs="Helvetica" w:eastAsia="Helvetica"/>
                <w:color w:val="FFFFFF"/>
                <w:spacing w:val="0"/>
                <w:position w:val="0"/>
                <w:sz w:val="19"/>
                <w:shd w:fill="auto" w:val="clear"/>
              </w:rPr>
              <w:t xml:space="preserve">l'environnement. </w:t>
            </w:r>
          </w:p>
        </w:tc>
      </w:tr>
      <w:tr>
        <w:trPr>
          <w:trHeight w:val="528" w:hRule="auto"/>
          <w:jc w:val="left"/>
        </w:trPr>
        <w:tc>
          <w:tcPr>
            <w:tcW w:w="3684" w:type="dxa"/>
            <w:tcBorders>
              <w:top w:val="single" w:color="ffffff" w:sz="1"/>
              <w:left w:val="single" w:color="ffffff" w:sz="1"/>
              <w:bottom w:val="single" w:color="ffffff" w:sz="1"/>
              <w:right w:val="single" w:color="ffffff" w:sz="1"/>
            </w:tcBorders>
            <w:shd w:color="auto" w:fill="ffffff" w:val="clear"/>
            <w:tcMar>
              <w:left w:w="129" w:type="dxa"/>
              <w:right w:w="129" w:type="dxa"/>
            </w:tcMar>
            <w:vAlign w:val="top"/>
          </w:tcPr>
          <w:p>
            <w:pPr>
              <w:spacing w:before="36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FFFFFF"/>
                <w:spacing w:val="0"/>
                <w:position w:val="0"/>
                <w:sz w:val="19"/>
                <w:shd w:fill="auto" w:val="clear"/>
              </w:rPr>
              <w:t xml:space="preserve">Protection en cas d'incendie </w:t>
            </w:r>
          </w:p>
        </w:tc>
        <w:tc>
          <w:tcPr>
            <w:tcW w:w="285" w:type="dxa"/>
            <w:tcBorders>
              <w:top w:val="single" w:color="ffffff" w:sz="1"/>
              <w:left w:val="single" w:color="ffffff" w:sz="1"/>
              <w:bottom w:val="single" w:color="ffffff" w:sz="1"/>
              <w:right w:val="single" w:color="ffffff" w:sz="1"/>
            </w:tcBorders>
            <w:shd w:color="auto" w:fill="ffffff" w:val="clear"/>
            <w:tcMar>
              <w:left w:w="129" w:type="dxa"/>
              <w:right w:w="129" w:type="dxa"/>
            </w:tcMar>
            <w:vAlign w:val="top"/>
          </w:tcPr>
          <w:p>
            <w:pPr>
              <w:spacing w:before="36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FFFFFF"/>
                <w:spacing w:val="0"/>
                <w:position w:val="0"/>
                <w:sz w:val="19"/>
                <w:shd w:fill="auto" w:val="clear"/>
              </w:rPr>
              <w:t xml:space="preserve">: </w:t>
            </w:r>
          </w:p>
        </w:tc>
        <w:tc>
          <w:tcPr>
            <w:tcW w:w="6521" w:type="dxa"/>
            <w:tcBorders>
              <w:top w:val="single" w:color="ffffff" w:sz="1"/>
              <w:left w:val="single" w:color="ffffff" w:sz="1"/>
              <w:bottom w:val="single" w:color="ffffff" w:sz="1"/>
              <w:right w:val="single" w:color="ffffff" w:sz="1"/>
            </w:tcBorders>
            <w:shd w:color="auto" w:fill="ffffff" w:val="clear"/>
            <w:tcMar>
              <w:left w:w="129" w:type="dxa"/>
              <w:right w:w="129" w:type="dxa"/>
            </w:tcMar>
            <w:vAlign w:val="top"/>
          </w:tcPr>
          <w:p>
            <w:pPr>
              <w:spacing w:before="36" w:after="0" w:line="247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FFFFFF"/>
                <w:spacing w:val="0"/>
                <w:position w:val="0"/>
                <w:sz w:val="19"/>
                <w:shd w:fill="auto" w:val="clear"/>
              </w:rPr>
              <w:t xml:space="preserve">Ne pas pénétrer dans la zone de feu sans équipement de protection, y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9"/>
                <w:shd w:fill="auto" w:val="clear"/>
              </w:rPr>
              <w:br/>
            </w:r>
            <w:r>
              <w:rPr>
                <w:rFonts w:ascii="Helvetica" w:hAnsi="Helvetica" w:cs="Helvetica" w:eastAsia="Helvetica"/>
                <w:color w:val="FFFFFF"/>
                <w:spacing w:val="0"/>
                <w:position w:val="0"/>
                <w:sz w:val="19"/>
                <w:shd w:fill="auto" w:val="clear"/>
              </w:rPr>
              <w:t xml:space="preserve">compris une protection respiratoire. </w:t>
            </w:r>
          </w:p>
        </w:tc>
      </w:tr>
    </w:tbl>
    <w:p>
      <w:pPr>
        <w:spacing w:before="0" w:after="0" w:line="416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416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36"/>
          <w:shd w:fill="auto" w:val="clear"/>
        </w:rPr>
        <w:t xml:space="preserve">Fiche de données de securité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67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6"/>
          <w:shd w:fill="auto" w:val="clear"/>
        </w:rPr>
        <w:t xml:space="preserve">Freesia - 7%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42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5. 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42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MESURES DE LUTTE CONTRE L'INCENDIE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65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5.1. Moyens d’extinction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77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Extincteur à CO2, poudre, mousse ou sable.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37" w:leader="none"/>
        </w:tabs>
        <w:spacing w:before="98" w:after="0" w:line="318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5.2. Dangers particuliers résultant de la substance ou du mélange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Pas d'informations complémentaires disponibles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98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5.3. Conseils aux pompiers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13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6. 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13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MESURES EN CAS D'ECOULEMENT ACCIDENTEL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67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6.1. Précautions individuelles, équipement de protection et procédures d’urgence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74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Fournir une protection adéquate aux équipes de nettoyage.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Respecter les consignes indiquées au paragraphe 2.2.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Aérer la zone.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19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6.2. Précautions pour la protection de l’environnement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77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Empêcher toute contamination du sol et de l'eau, tout écoulement dans les égouts, caniveaux, rivières.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Avertir les autorités si le produit pénètre dans les égouts ou dans les eaux du domaine public.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98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6.3. Méthodes et matériel de confinement et de nettoyage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77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Sur le sol, balayer ou pelleter dans des conteneurs de rejet adéquats. Réduire à un minimum la production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de poussières. Stocker à l'écart des autres matières.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37" w:leader="none"/>
        </w:tabs>
        <w:spacing w:before="96" w:after="0" w:line="319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6.4. Référence à d'autres sections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Non applicable.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04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6"/>
          <w:shd w:fill="auto" w:val="clear"/>
        </w:rPr>
        <w:t xml:space="preserve">3/8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tbl>
      <w:tblPr>
        <w:tblInd w:w="9" w:type="dxa"/>
      </w:tblPr>
      <w:tblGrid>
        <w:gridCol w:w="3684"/>
        <w:gridCol w:w="285"/>
        <w:gridCol w:w="6521"/>
      </w:tblGrid>
      <w:tr>
        <w:trPr>
          <w:trHeight w:val="789" w:hRule="auto"/>
          <w:jc w:val="left"/>
        </w:trPr>
        <w:tc>
          <w:tcPr>
            <w:tcW w:w="3684" w:type="dxa"/>
            <w:tcBorders>
              <w:top w:val="single" w:color="ffffff" w:sz="1"/>
              <w:left w:val="single" w:color="ffffff" w:sz="1"/>
              <w:bottom w:val="single" w:color="ffffff" w:sz="1"/>
              <w:right w:val="single" w:color="ffffff" w:sz="1"/>
            </w:tcBorders>
            <w:shd w:color="auto" w:fill="ffffff" w:val="clear"/>
            <w:tcMar>
              <w:left w:w="32" w:type="dxa"/>
              <w:right w:w="32" w:type="dxa"/>
            </w:tcMar>
            <w:vAlign w:val="top"/>
          </w:tcPr>
          <w:p>
            <w:pPr>
              <w:spacing w:before="34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FFFFFF"/>
                <w:spacing w:val="0"/>
                <w:position w:val="0"/>
                <w:sz w:val="19"/>
                <w:shd w:fill="auto" w:val="clear"/>
              </w:rPr>
              <w:t xml:space="preserve">Conditions de stockage </w:t>
            </w:r>
          </w:p>
        </w:tc>
        <w:tc>
          <w:tcPr>
            <w:tcW w:w="285" w:type="dxa"/>
            <w:tcBorders>
              <w:top w:val="single" w:color="ffffff" w:sz="1"/>
              <w:left w:val="single" w:color="ffffff" w:sz="1"/>
              <w:bottom w:val="single" w:color="ffffff" w:sz="1"/>
              <w:right w:val="single" w:color="ffffff" w:sz="1"/>
            </w:tcBorders>
            <w:shd w:color="auto" w:fill="ffffff" w:val="clear"/>
            <w:tcMar>
              <w:left w:w="32" w:type="dxa"/>
              <w:right w:w="32" w:type="dxa"/>
            </w:tcMar>
            <w:vAlign w:val="top"/>
          </w:tcPr>
          <w:p>
            <w:pPr>
              <w:spacing w:before="34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FFFFFF"/>
                <w:spacing w:val="0"/>
                <w:position w:val="0"/>
                <w:sz w:val="19"/>
                <w:shd w:fill="auto" w:val="clear"/>
              </w:rPr>
              <w:t xml:space="preserve">: </w:t>
            </w:r>
          </w:p>
        </w:tc>
        <w:tc>
          <w:tcPr>
            <w:tcW w:w="6521" w:type="dxa"/>
            <w:tcBorders>
              <w:top w:val="single" w:color="ffffff" w:sz="1"/>
              <w:left w:val="single" w:color="ffffff" w:sz="1"/>
              <w:bottom w:val="single" w:color="ffffff" w:sz="1"/>
              <w:right w:val="single" w:color="ffffff" w:sz="1"/>
            </w:tcBorders>
            <w:shd w:color="auto" w:fill="ffffff" w:val="clear"/>
            <w:tcMar>
              <w:left w:w="32" w:type="dxa"/>
              <w:right w:w="32" w:type="dxa"/>
            </w:tcMar>
            <w:vAlign w:val="top"/>
          </w:tcPr>
          <w:p>
            <w:pPr>
              <w:spacing w:before="34" w:after="0" w:line="253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FFFFFF"/>
                <w:spacing w:val="0"/>
                <w:position w:val="0"/>
                <w:sz w:val="19"/>
                <w:shd w:fill="auto" w:val="clear"/>
              </w:rPr>
              <w:t xml:space="preserve">Conserver uniquement dans le récipient d'origine dans un endroit frais et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9"/>
                <w:shd w:fill="auto" w:val="clear"/>
              </w:rPr>
              <w:br/>
            </w:r>
            <w:r>
              <w:rPr>
                <w:rFonts w:ascii="Helvetica" w:hAnsi="Helvetica" w:cs="Helvetica" w:eastAsia="Helvetica"/>
                <w:color w:val="FFFFFF"/>
                <w:spacing w:val="0"/>
                <w:position w:val="0"/>
                <w:sz w:val="19"/>
                <w:shd w:fill="auto" w:val="clear"/>
              </w:rPr>
              <w:t xml:space="preserve">bien ventilé à l'écart des : Garder les conteneurs fermés en dehors de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9"/>
                <w:shd w:fill="auto" w:val="clear"/>
              </w:rPr>
              <w:br/>
            </w:r>
            <w:r>
              <w:rPr>
                <w:rFonts w:ascii="Helvetica" w:hAnsi="Helvetica" w:cs="Helvetica" w:eastAsia="Helvetica"/>
                <w:color w:val="FFFFFF"/>
                <w:spacing w:val="0"/>
                <w:position w:val="0"/>
                <w:sz w:val="19"/>
                <w:shd w:fill="auto" w:val="clear"/>
              </w:rPr>
              <w:t xml:space="preserve">leur utilisation. </w:t>
            </w:r>
          </w:p>
        </w:tc>
      </w:tr>
      <w:tr>
        <w:trPr>
          <w:trHeight w:val="264" w:hRule="auto"/>
          <w:jc w:val="left"/>
        </w:trPr>
        <w:tc>
          <w:tcPr>
            <w:tcW w:w="3684" w:type="dxa"/>
            <w:tcBorders>
              <w:top w:val="single" w:color="ffffff" w:sz="1"/>
              <w:left w:val="single" w:color="ffffff" w:sz="1"/>
              <w:bottom w:val="single" w:color="ffffff" w:sz="1"/>
              <w:right w:val="single" w:color="ffffff" w:sz="1"/>
            </w:tcBorders>
            <w:shd w:color="auto" w:fill="ffffff" w:val="clear"/>
            <w:tcMar>
              <w:left w:w="2077" w:type="dxa"/>
              <w:right w:w="2077" w:type="dxa"/>
            </w:tcMar>
            <w:vAlign w:val="top"/>
          </w:tcPr>
          <w:p>
            <w:pPr>
              <w:spacing w:before="37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FFFFFF"/>
                <w:spacing w:val="0"/>
                <w:position w:val="0"/>
                <w:sz w:val="19"/>
                <w:shd w:fill="auto" w:val="clear"/>
              </w:rPr>
              <w:t xml:space="preserve">Produits incompatibles </w:t>
            </w:r>
          </w:p>
        </w:tc>
        <w:tc>
          <w:tcPr>
            <w:tcW w:w="285" w:type="dxa"/>
            <w:tcBorders>
              <w:top w:val="single" w:color="ffffff" w:sz="1"/>
              <w:left w:val="single" w:color="ffffff" w:sz="1"/>
              <w:bottom w:val="single" w:color="ffffff" w:sz="1"/>
              <w:right w:val="single" w:color="ffffff" w:sz="1"/>
            </w:tcBorders>
            <w:shd w:color="auto" w:fill="ffffff" w:val="clear"/>
            <w:tcMar>
              <w:left w:w="2077" w:type="dxa"/>
              <w:right w:w="2077" w:type="dxa"/>
            </w:tcMar>
            <w:vAlign w:val="top"/>
          </w:tcPr>
          <w:p>
            <w:pPr>
              <w:spacing w:before="37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FFFFFF"/>
                <w:spacing w:val="0"/>
                <w:position w:val="0"/>
                <w:sz w:val="19"/>
                <w:shd w:fill="auto" w:val="clear"/>
              </w:rPr>
              <w:t xml:space="preserve">: </w:t>
            </w:r>
          </w:p>
        </w:tc>
        <w:tc>
          <w:tcPr>
            <w:tcW w:w="6521" w:type="dxa"/>
            <w:tcBorders>
              <w:top w:val="single" w:color="ffffff" w:sz="1"/>
              <w:left w:val="single" w:color="ffffff" w:sz="1"/>
              <w:bottom w:val="single" w:color="ffffff" w:sz="1"/>
              <w:right w:val="single" w:color="ffffff" w:sz="1"/>
            </w:tcBorders>
            <w:shd w:color="auto" w:fill="ffffff" w:val="clear"/>
            <w:tcMar>
              <w:left w:w="2077" w:type="dxa"/>
              <w:right w:w="2077" w:type="dxa"/>
            </w:tcMar>
            <w:vAlign w:val="top"/>
          </w:tcPr>
          <w:p>
            <w:pPr>
              <w:spacing w:before="37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FFFFFF"/>
                <w:spacing w:val="0"/>
                <w:position w:val="0"/>
                <w:sz w:val="19"/>
                <w:shd w:fill="auto" w:val="clear"/>
              </w:rPr>
              <w:t xml:space="preserve">Bases fortes. Acides forts. </w:t>
            </w:r>
          </w:p>
        </w:tc>
      </w:tr>
      <w:tr>
        <w:trPr>
          <w:trHeight w:val="264" w:hRule="auto"/>
          <w:jc w:val="left"/>
        </w:trPr>
        <w:tc>
          <w:tcPr>
            <w:tcW w:w="3684" w:type="dxa"/>
            <w:tcBorders>
              <w:top w:val="single" w:color="ffffff" w:sz="1"/>
              <w:left w:val="single" w:color="ffffff" w:sz="1"/>
              <w:bottom w:val="single" w:color="ffffff" w:sz="1"/>
              <w:right w:val="single" w:color="ffffff" w:sz="1"/>
            </w:tcBorders>
            <w:shd w:color="auto" w:fill="ffffff" w:val="clear"/>
            <w:tcMar>
              <w:left w:w="1065" w:type="dxa"/>
              <w:right w:w="1065" w:type="dxa"/>
            </w:tcMar>
            <w:vAlign w:val="top"/>
          </w:tcPr>
          <w:p>
            <w:pPr>
              <w:spacing w:before="36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FFFFFF"/>
                <w:spacing w:val="0"/>
                <w:position w:val="0"/>
                <w:sz w:val="19"/>
                <w:shd w:fill="auto" w:val="clear"/>
              </w:rPr>
              <w:t xml:space="preserve">Matières incompatibles </w:t>
            </w:r>
          </w:p>
        </w:tc>
        <w:tc>
          <w:tcPr>
            <w:tcW w:w="285" w:type="dxa"/>
            <w:tcBorders>
              <w:top w:val="single" w:color="ffffff" w:sz="1"/>
              <w:left w:val="single" w:color="ffffff" w:sz="1"/>
              <w:bottom w:val="single" w:color="ffffff" w:sz="1"/>
              <w:right w:val="single" w:color="ffffff" w:sz="1"/>
            </w:tcBorders>
            <w:shd w:color="auto" w:fill="ffffff" w:val="clear"/>
            <w:tcMar>
              <w:left w:w="1065" w:type="dxa"/>
              <w:right w:w="1065" w:type="dxa"/>
            </w:tcMar>
            <w:vAlign w:val="top"/>
          </w:tcPr>
          <w:p>
            <w:pPr>
              <w:spacing w:before="36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FFFFFF"/>
                <w:spacing w:val="0"/>
                <w:position w:val="0"/>
                <w:sz w:val="19"/>
                <w:shd w:fill="auto" w:val="clear"/>
              </w:rPr>
              <w:t xml:space="preserve">: </w:t>
            </w:r>
          </w:p>
        </w:tc>
        <w:tc>
          <w:tcPr>
            <w:tcW w:w="6521" w:type="dxa"/>
            <w:tcBorders>
              <w:top w:val="single" w:color="ffffff" w:sz="1"/>
              <w:left w:val="single" w:color="ffffff" w:sz="1"/>
              <w:bottom w:val="single" w:color="ffffff" w:sz="1"/>
              <w:right w:val="single" w:color="ffffff" w:sz="1"/>
            </w:tcBorders>
            <w:shd w:color="auto" w:fill="ffffff" w:val="clear"/>
            <w:tcMar>
              <w:left w:w="1065" w:type="dxa"/>
              <w:right w:w="1065" w:type="dxa"/>
            </w:tcMar>
            <w:vAlign w:val="top"/>
          </w:tcPr>
          <w:p>
            <w:pPr>
              <w:spacing w:before="36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FFFFFF"/>
                <w:spacing w:val="0"/>
                <w:position w:val="0"/>
                <w:sz w:val="19"/>
                <w:shd w:fill="auto" w:val="clear"/>
              </w:rPr>
              <w:t xml:space="preserve">Sources d'inflammation. Rayons directs du soleil. </w:t>
            </w:r>
          </w:p>
        </w:tc>
      </w:tr>
      <w:tr>
        <w:trPr>
          <w:trHeight w:val="264" w:hRule="auto"/>
          <w:jc w:val="left"/>
        </w:trPr>
        <w:tc>
          <w:tcPr>
            <w:tcW w:w="3684" w:type="dxa"/>
            <w:tcBorders>
              <w:top w:val="single" w:color="ffffff" w:sz="1"/>
              <w:left w:val="single" w:color="ffffff" w:sz="1"/>
              <w:bottom w:val="single" w:color="ffffff" w:sz="1"/>
              <w:right w:val="single" w:color="ffffff" w:sz="1"/>
            </w:tcBorders>
            <w:shd w:color="auto" w:fill="ffffff" w:val="clear"/>
            <w:tcMar>
              <w:left w:w="2937" w:type="dxa"/>
              <w:right w:w="2937" w:type="dxa"/>
            </w:tcMar>
            <w:vAlign w:val="top"/>
          </w:tcPr>
          <w:p>
            <w:pPr>
              <w:spacing w:before="36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FFFFFF"/>
                <w:spacing w:val="0"/>
                <w:position w:val="0"/>
                <w:sz w:val="19"/>
                <w:shd w:fill="auto" w:val="clear"/>
              </w:rPr>
              <w:t xml:space="preserve">Durée de stockage maximale </w:t>
            </w:r>
          </w:p>
        </w:tc>
        <w:tc>
          <w:tcPr>
            <w:tcW w:w="285" w:type="dxa"/>
            <w:tcBorders>
              <w:top w:val="single" w:color="ffffff" w:sz="1"/>
              <w:left w:val="single" w:color="ffffff" w:sz="1"/>
              <w:bottom w:val="single" w:color="ffffff" w:sz="1"/>
              <w:right w:val="single" w:color="ffffff" w:sz="1"/>
            </w:tcBorders>
            <w:shd w:color="auto" w:fill="ffffff" w:val="clear"/>
            <w:tcMar>
              <w:left w:w="2937" w:type="dxa"/>
              <w:right w:w="2937" w:type="dxa"/>
            </w:tcMar>
            <w:vAlign w:val="top"/>
          </w:tcPr>
          <w:p>
            <w:pPr>
              <w:spacing w:before="36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FFFFFF"/>
                <w:spacing w:val="0"/>
                <w:position w:val="0"/>
                <w:sz w:val="19"/>
                <w:shd w:fill="auto" w:val="clear"/>
              </w:rPr>
              <w:t xml:space="preserve">: </w:t>
            </w:r>
          </w:p>
        </w:tc>
        <w:tc>
          <w:tcPr>
            <w:tcW w:w="6521" w:type="dxa"/>
            <w:tcBorders>
              <w:top w:val="single" w:color="ffffff" w:sz="1"/>
              <w:left w:val="single" w:color="ffffff" w:sz="1"/>
              <w:bottom w:val="single" w:color="ffffff" w:sz="1"/>
              <w:right w:val="single" w:color="ffffff" w:sz="1"/>
            </w:tcBorders>
            <w:shd w:color="auto" w:fill="ffffff" w:val="clear"/>
            <w:tcMar>
              <w:left w:w="2937" w:type="dxa"/>
              <w:right w:w="2937" w:type="dxa"/>
            </w:tcMar>
            <w:vAlign w:val="top"/>
          </w:tcPr>
          <w:p>
            <w:pPr>
              <w:spacing w:before="36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FFFFFF"/>
                <w:spacing w:val="0"/>
                <w:position w:val="0"/>
                <w:sz w:val="19"/>
                <w:shd w:fill="auto" w:val="clear"/>
              </w:rPr>
              <w:t xml:space="preserve">6 mois </w:t>
            </w:r>
          </w:p>
        </w:tc>
      </w:tr>
    </w:tbl>
    <w:p>
      <w:pPr>
        <w:spacing w:before="0" w:after="0" w:line="416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416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36"/>
          <w:shd w:fill="auto" w:val="clear"/>
        </w:rPr>
        <w:t xml:space="preserve">Fiche de données de securité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67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6"/>
          <w:shd w:fill="auto" w:val="clear"/>
        </w:rPr>
        <w:t xml:space="preserve">Freesia - 7%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12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7. 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12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MANUTENTION ET STOCKAGE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67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7.1. Précautions à prendre pour une manipulation sans danger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77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Se laver les mains et toute autre zone exposée avec un savon doux et de l'eau, avant de manger, de boire,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de fumer, et avant de quitter le travail. Assurer une bonne ventilation de la zone de travail afin d'éviter la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formation de vapeurs.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98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7.2. Conditions nécessaires pour assurer la sécurité du stockage, tenant compte d’éventuelles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incompatibilités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37" w:leader="none"/>
        </w:tabs>
        <w:spacing w:before="31" w:after="0" w:line="319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7.3. Utilisation(s) finale(s) particulière(s)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Données non disponibles.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70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8. 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70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PREVENTION DE L'EXPOSITION/VETEMENTS ET ACCESSOIRES DE PROTECTION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37" w:leader="none"/>
        </w:tabs>
        <w:spacing w:before="165" w:after="0" w:line="319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8.1. Paramètres de contrôle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Données non disponibles.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98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8.2. Contrôles de l’exposition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77" w:after="21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Mesures d'ordre technique : Eviter le contact avec les yeux. Ne pas ingérer. Eviter le contact avec les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aliments et les boissons. </w:t>
      </w:r>
    </w:p>
    <w:p>
      <w:pPr>
        <w:spacing w:before="0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Equipements de protection individuelle : </w:t>
      </w:r>
    </w:p>
    <w:p>
      <w:pPr>
        <w:spacing w:before="0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- Protection des mains : Protection non requise. </w:t>
      </w:r>
    </w:p>
    <w:p>
      <w:pPr>
        <w:spacing w:before="0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- Protection des yeux : Protection non requise. </w:t>
      </w:r>
    </w:p>
    <w:p>
      <w:pPr>
        <w:spacing w:before="0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- Protection respiratoire :  En cas de ventilation insuffisante, porter un appareil respiratoire approprié.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1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9. 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1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PROPRIETES PHYSIQUES ET CHIMIQUES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63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6"/>
          <w:shd w:fill="auto" w:val="clear"/>
        </w:rPr>
        <w:t xml:space="preserve">4/8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416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36"/>
          <w:shd w:fill="auto" w:val="clear"/>
        </w:rPr>
        <w:t xml:space="preserve">Fiche de données de securité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67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6"/>
          <w:shd w:fill="auto" w:val="clear"/>
        </w:rPr>
        <w:t xml:space="preserve">Freesia - 7%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61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9.1. Informations sur les propriétés physiques et chimiques essentielles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74" w:after="0" w:line="281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Etat Physique :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Couleur :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Odeur : </w:t>
      </w:r>
    </w:p>
    <w:p>
      <w:pPr>
        <w:spacing w:before="174" w:after="0" w:line="240"/>
        <w:ind w:right="129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174" w:after="0" w:line="240"/>
        <w:ind w:right="129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Solide </w:t>
      </w:r>
    </w:p>
    <w:p>
      <w:pPr>
        <w:spacing w:before="111" w:after="0" w:line="262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Non disponible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Non disponible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11" w:after="0" w:line="281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Point de fusion/point de congélation    Non disponible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Point d'ébullition  :                                 Non disponible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Inflammabilité :                                      Non concerné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11" w:after="109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Limites inférieures et supérieures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d'explosion : </w:t>
      </w:r>
    </w:p>
    <w:p>
      <w:pPr>
        <w:spacing w:before="0" w:after="111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Point éclair en °C : </w:t>
      </w:r>
    </w:p>
    <w:p>
      <w:pPr>
        <w:spacing w:before="0" w:after="109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T° d'auto-inflammation  : </w:t>
      </w:r>
    </w:p>
    <w:p>
      <w:pPr>
        <w:spacing w:before="0" w:after="111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T° de décomposition  : </w:t>
      </w:r>
    </w:p>
    <w:p>
      <w:pPr>
        <w:spacing w:before="0" w:after="111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p.H : </w:t>
      </w:r>
    </w:p>
    <w:p>
      <w:pPr>
        <w:spacing w:before="0" w:after="109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Viscosité cinématique : </w:t>
      </w:r>
    </w:p>
    <w:p>
      <w:pPr>
        <w:spacing w:before="0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Solubilité dans l'eau : </w:t>
      </w:r>
    </w:p>
    <w:p>
      <w:pPr>
        <w:spacing w:before="111" w:after="0" w:line="240"/>
        <w:ind w:right="-495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111" w:after="0" w:line="240"/>
        <w:ind w:right="-495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Non concerné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08" w:after="0" w:line="240"/>
        <w:ind w:right="22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&gt;200°C </w:t>
      </w:r>
    </w:p>
    <w:p>
      <w:pPr>
        <w:spacing w:before="111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Non disponible </w:t>
      </w:r>
    </w:p>
    <w:p>
      <w:pPr>
        <w:spacing w:before="109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Non disponible </w:t>
      </w:r>
    </w:p>
    <w:p>
      <w:pPr>
        <w:spacing w:before="111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Non disponible </w:t>
      </w:r>
    </w:p>
    <w:p>
      <w:pPr>
        <w:spacing w:before="111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Non disponible </w:t>
      </w:r>
    </w:p>
    <w:p>
      <w:pPr>
        <w:spacing w:before="109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Non disponible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11" w:after="109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Coefficient de partage n-octanol/eau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(log) : </w:t>
      </w:r>
    </w:p>
    <w:p>
      <w:pPr>
        <w:spacing w:before="0" w:after="111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Pression de vapeur : </w:t>
      </w:r>
    </w:p>
    <w:p>
      <w:pPr>
        <w:spacing w:before="0" w:after="111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Densité relative (d20/20) : </w:t>
      </w:r>
    </w:p>
    <w:p>
      <w:pPr>
        <w:spacing w:before="0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Densité de vapeur relative : </w:t>
      </w:r>
    </w:p>
    <w:p>
      <w:pPr>
        <w:spacing w:before="111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111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Non disponible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08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Non disponible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30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Non disponible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08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9.2. Autres informations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72" w:after="0" w:line="263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Conservation en mois :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Indice de réfraction à 20°C : </w:t>
      </w:r>
    </w:p>
    <w:p>
      <w:pPr>
        <w:spacing w:before="172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172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12 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59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10. </w:t>
      </w:r>
    </w:p>
    <w:p>
      <w:pPr>
        <w:spacing w:before="159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159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STABILITE ET REACTIVITE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65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10.1. Réactivité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77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Pas de danger particulier à signaler.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37" w:leader="none"/>
        </w:tabs>
        <w:spacing w:before="98" w:after="0" w:line="319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10.2. Stabilité chimique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Non établi.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37" w:leader="none"/>
        </w:tabs>
        <w:spacing w:before="98" w:after="0" w:line="318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10.3. Possibilité de réactions dangereuses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Non établi.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98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10.4. Conditions à éviter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30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6"/>
          <w:shd w:fill="auto" w:val="clear"/>
        </w:rPr>
        <w:t xml:space="preserve">5/8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416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36"/>
          <w:shd w:fill="auto" w:val="clear"/>
        </w:rPr>
        <w:t xml:space="preserve">Fiche de données de securité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67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6"/>
          <w:shd w:fill="auto" w:val="clear"/>
        </w:rPr>
        <w:t xml:space="preserve">Freesia - 7%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66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Rayons directs du soleil.Ne pas exposer à des températures très élevées ou très basses.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98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10.5. Matières incompatibles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77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Eviter le contact avec les acides, les bases et les agents oxydants.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96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10.6. Produits de décomposition dangereux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77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Possibilité de formation de monoxyde, de dioxyde de carbone en cas de combustion.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50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11. 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50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INFORMATIONS TOXICOLOGIQUES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67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11.1. Informations sur les classes de danger telles que définies dans le règlement (CE) n° 1272/2008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72" w:after="162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Linalool </w:t>
      </w:r>
    </w:p>
    <w:p>
      <w:pPr>
        <w:tabs>
          <w:tab w:val="left" w:pos="226" w:leader="none"/>
        </w:tabs>
        <w:spacing w:before="0" w:after="162" w:line="288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ETAO : 2 790,00 mg/kg(Déterminée)     ETAC : Non Déterminée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alpha-Hexylcinnamaldehyde </w:t>
      </w:r>
    </w:p>
    <w:p>
      <w:pPr>
        <w:tabs>
          <w:tab w:val="left" w:pos="226" w:leader="none"/>
        </w:tabs>
        <w:spacing w:before="0" w:after="0" w:line="287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ETAO : 3 100,00 mg/kg(Déterminée)     ETAC : Non Déterminée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Geraniol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42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ETAI : Non Déterminée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31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ETAI : Non Déterminée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62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ETAO : 3 600,00 mg/kg(Déterminée)     ETAC : Non Déterminée </w:t>
      </w:r>
    </w:p>
    <w:p>
      <w:pPr>
        <w:spacing w:before="162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162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ETAI : Non Déterminée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37" w:leader="none"/>
        </w:tabs>
        <w:spacing w:before="153" w:after="0" w:line="305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11.2. Informations sur les autres dangers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Non concerné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12. 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INFORMATIONS ECOLOGIQUES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37" w:leader="none"/>
        </w:tabs>
        <w:spacing w:before="165" w:after="0" w:line="306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12.1. Toxicité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Non applicable.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37" w:leader="none"/>
        </w:tabs>
        <w:spacing w:before="113" w:after="0" w:line="319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12.2. Persistance et dégradabilité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Données non disponibles.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37" w:leader="none"/>
        </w:tabs>
        <w:spacing w:before="98" w:after="0" w:line="319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12.3. Potentiel de bioaccumulation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Données non disponibles.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37" w:leader="none"/>
        </w:tabs>
        <w:spacing w:before="98" w:after="0" w:line="318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12.4. Mobilité dans le sol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Données non disponibles.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35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6"/>
          <w:shd w:fill="auto" w:val="clear"/>
        </w:rPr>
        <w:t xml:space="preserve">6/8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416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36"/>
          <w:shd w:fill="auto" w:val="clear"/>
        </w:rPr>
        <w:t xml:space="preserve">Fiche de données de securité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67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6"/>
          <w:shd w:fill="auto" w:val="clear"/>
        </w:rPr>
        <w:t xml:space="preserve">Freesia - 7%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37" w:leader="none"/>
        </w:tabs>
        <w:spacing w:before="66" w:after="0" w:line="319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12.5. Résultats des évaluations PBT et vPvB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Données non disponibles.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37" w:leader="none"/>
        </w:tabs>
        <w:spacing w:before="98" w:after="0" w:line="305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12.6. Propriétés perturbatrices endocriniennes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Non concerné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37" w:leader="none"/>
        </w:tabs>
        <w:spacing w:before="149" w:after="0" w:line="318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12.7. Autres effets néfastes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Eviter le rejet dans l'environnement.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50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13. 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50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ELIMINATION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67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13.1. Méthodes de traitement des déchets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84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b/>
          <w:color w:val="000000"/>
          <w:spacing w:val="0"/>
          <w:position w:val="0"/>
          <w:sz w:val="19"/>
          <w:shd w:fill="auto" w:val="clear"/>
        </w:rPr>
        <w:t xml:space="preserve">Produit et emballages souillés : </w:t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évacuer conformément à la règlementation en vigueur.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45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14. 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45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INFORMATIONS CONCERNANT LE TRANSPORT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78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b/>
          <w:color w:val="000000"/>
          <w:spacing w:val="0"/>
          <w:position w:val="0"/>
          <w:sz w:val="19"/>
          <w:shd w:fill="auto" w:val="clear"/>
        </w:rPr>
        <w:t xml:space="preserve">Nomenclature Douanière :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94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14.1. Numéro ONU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72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ADR/ADN/RID : NON REGLEMENTE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IMDG:NON REGLEMENTE </w:t>
      </w:r>
    </w:p>
    <w:p>
      <w:pPr>
        <w:spacing w:before="0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IATA :NON REGLEMENTE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15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14.2. Nom d’expédition des Nations unies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74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ADR/ADN/RID : NON REGLEMENTE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IMDG:NON REGLEMENTE </w:t>
      </w:r>
    </w:p>
    <w:p>
      <w:pPr>
        <w:spacing w:before="0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IATA :NON REGLEMENTE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13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14.3. Classe(s) de danger pour le transport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74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ADR/ADN/RID : NON REGLEMENTE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IMDG:NON REGLEMENTE </w:t>
      </w:r>
    </w:p>
    <w:p>
      <w:pPr>
        <w:spacing w:before="0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IATA :NON REGLEMENTE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13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14.4. Groupe d’emballage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74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ADR/ADN/RID : NON REGLEMENTE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IMDG:NON REGLEMENTE </w:t>
      </w:r>
    </w:p>
    <w:p>
      <w:pPr>
        <w:spacing w:before="0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IATA :NON REGLEMENTE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37" w:leader="none"/>
        </w:tabs>
        <w:spacing w:before="115" w:after="0" w:line="305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14.5. Dangers pour l’environnement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IMDG : NON REGLEMENTE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07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6"/>
          <w:shd w:fill="auto" w:val="clear"/>
        </w:rPr>
        <w:t xml:space="preserve">7/8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416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36"/>
          <w:shd w:fill="auto" w:val="clear"/>
        </w:rPr>
        <w:t xml:space="preserve">Fiche de données de securité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67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6"/>
          <w:shd w:fill="auto" w:val="clear"/>
        </w:rPr>
        <w:t xml:space="preserve">Freesia - 7%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37" w:leader="none"/>
        </w:tabs>
        <w:spacing w:before="66" w:after="0" w:line="319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14.6. Précautions particulières à prendre par l’utilisateur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Se référer à la section 2.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37" w:leader="none"/>
        </w:tabs>
        <w:spacing w:before="98" w:after="0" w:line="318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14.7. Transport maritime en vrac conformément aux instruments de l'OMI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Non applicable.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50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15. 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50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INFORMATIONS REGLEMENTAIRES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67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15.1. Réglementations/Législation particulières à la substance ou au mélange en matière de sécurité, de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santé et d’environnement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77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FDS établie selon le réglement (CE) 878/2020, 1272/2008 et 1907/2006 (REACH).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37" w:leader="none"/>
        </w:tabs>
        <w:spacing w:before="110" w:after="0" w:line="319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15.2. Évaluation de la sécurité chimique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2D2D2D"/>
          <w:spacing w:val="0"/>
          <w:position w:val="0"/>
          <w:sz w:val="19"/>
          <w:shd w:fill="auto" w:val="clear"/>
        </w:rPr>
        <w:t xml:space="preserve">Non concerné.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50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16. 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50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AUTRES INFORMATIONS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75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b/>
          <w:color w:val="000000"/>
          <w:spacing w:val="0"/>
          <w:position w:val="0"/>
          <w:sz w:val="18"/>
          <w:shd w:fill="auto" w:val="clear"/>
        </w:rPr>
        <w:t xml:space="preserve">Texte intégral des phrases H citées en point 3  :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05" w:after="0" w:line="295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H315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H317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H318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H319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H400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H411 </w:t>
      </w:r>
    </w:p>
    <w:p>
      <w:pPr>
        <w:spacing w:before="105" w:after="104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105" w:after="104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Provoque une irritation cutanée. </w:t>
      </w:r>
    </w:p>
    <w:p>
      <w:pPr>
        <w:spacing w:before="0" w:after="104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Peut provoquer une allergie cutanée. </w:t>
      </w:r>
    </w:p>
    <w:p>
      <w:pPr>
        <w:spacing w:before="0" w:after="104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Provoque de graves lésions des yeux. </w:t>
      </w:r>
    </w:p>
    <w:p>
      <w:pPr>
        <w:spacing w:before="0" w:after="106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Provoque une sévère irritation des yeux. </w:t>
      </w:r>
    </w:p>
    <w:p>
      <w:pPr>
        <w:spacing w:before="0" w:after="104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Très toxique pour les organismes aquatiques. </w:t>
      </w:r>
    </w:p>
    <w:p>
      <w:pPr>
        <w:spacing w:before="0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Toxique pour les organismes aquatiques, entraîne des effets néfastes à long terme.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81" w:after="23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rebuchet MS" w:hAnsi="Trebuchet MS" w:cs="Trebuchet MS" w:eastAsia="Trebuchet MS"/>
          <w:color w:val="000000"/>
          <w:spacing w:val="0"/>
          <w:position w:val="0"/>
          <w:sz w:val="16"/>
          <w:shd w:fill="auto" w:val="clear"/>
        </w:rPr>
        <w:t xml:space="preserve">-------------------------------------------------------------------------------------------------------------------------------------------------------- </w:t>
      </w:r>
    </w:p>
    <w:p>
      <w:pPr>
        <w:spacing w:before="0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6"/>
          <w:shd w:fill="auto" w:val="clear"/>
        </w:rPr>
        <w:t xml:space="preserve">Ces indications sont fondées sur l'état actuel de nos connaissances, mais ne constituent pas une garantie quant aux propriétés du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6"/>
          <w:shd w:fill="auto" w:val="clear"/>
        </w:rPr>
        <w:t xml:space="preserve">produit et ne donnent pas lieu à un rapport juridique contractuel. </w:t>
      </w:r>
    </w:p>
    <w:p>
      <w:pPr>
        <w:spacing w:before="0" w:after="621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rebuchet MS" w:hAnsi="Trebuchet MS" w:cs="Trebuchet MS" w:eastAsia="Trebuchet MS"/>
          <w:color w:val="000000"/>
          <w:spacing w:val="0"/>
          <w:position w:val="0"/>
          <w:sz w:val="16"/>
          <w:shd w:fill="auto" w:val="clear"/>
        </w:rPr>
        <w:t xml:space="preserve">-------------------------------------------------------------------------------------------------------------------------------------------------------- </w:t>
      </w:r>
    </w:p>
    <w:p>
      <w:pPr>
        <w:spacing w:before="0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Liste des points modifiés : 2.1   2.2   3.2   11.1 16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50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6"/>
          <w:shd w:fill="auto" w:val="clear"/>
        </w:rPr>
        <w:t xml:space="preserve">8/8 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