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spacing w:before="0" w:after="0" w:line="240"/>
        <w:ind w:right="0" w:left="0"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color w:val="auto"/>
          <w:spacing w:val="0"/>
          <w:position w:val="0"/>
          <w:sz w:val="14"/>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RUBRIQUE 1 : Identification de la substance/du mélange et de la société/de l’entreprise</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1.1. Identificateur de produit</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2"/>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La Vie Est Belle Huile Parfumée :</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10</w:t>
      </w:r>
      <w:r>
        <w:rPr>
          <w:rFonts w:ascii="Arial" w:hAnsi="Arial" w:cs="Arial" w:eastAsia="Arial"/>
          <w:b/>
          <w:color w:val="auto"/>
          <w:spacing w:val="-2"/>
          <w:position w:val="0"/>
          <w:sz w:val="16"/>
          <w:shd w:fill="auto" w:val="clear"/>
        </w:rPr>
        <w:t xml:space="preserve">%</w:t>
      </w:r>
    </w:p>
    <w:p>
      <w:pPr>
        <w:spacing w:before="0" w:after="0" w:line="240"/>
        <w:ind w:right="0" w:left="0" w:firstLine="0"/>
        <w:jc w:val="left"/>
        <w:rPr>
          <w:rFonts w:ascii="Arial" w:hAnsi="Arial" w:cs="Arial" w:eastAsia="Arial"/>
          <w:b/>
          <w:color w:val="auto"/>
          <w:spacing w:val="-2"/>
          <w:position w:val="0"/>
          <w:sz w:val="16"/>
          <w:shd w:fill="auto" w:val="clear"/>
        </w:rPr>
      </w:pPr>
    </w:p>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 Utilisations identifiées pertinentes de la substance ou du mélange et utilisations déconseillées</w:t>
      </w:r>
    </w:p>
    <w:p>
      <w:pPr>
        <w:spacing w:before="0" w:after="0" w:line="240"/>
        <w:ind w:right="0" w:left="0"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684" w:hanging="445"/>
        <w:jc w:val="left"/>
        <w:rPr>
          <w:rFonts w:ascii="Arial" w:hAnsi="Arial" w:cs="Arial" w:eastAsia="Arial"/>
          <w:b/>
          <w:color w:val="auto"/>
          <w:spacing w:val="0"/>
          <w:position w:val="0"/>
          <w:sz w:val="16"/>
          <w:shd w:fill="auto" w:val="clear"/>
        </w:rPr>
      </w:pPr>
      <w:r>
        <w:rPr>
          <w:rFonts w:ascii="Calibri" w:hAnsi="Calibri" w:cs="Calibri" w:eastAsia="Calibri"/>
          <w:b/>
          <w:color w:val="0070C0"/>
          <w:spacing w:val="-1"/>
          <w:position w:val="0"/>
          <w:sz w:val="16"/>
          <w:shd w:fill="auto" w:val="clear"/>
        </w:rPr>
        <w:t xml:space="preserve">1.2.1.</w:t>
        <w:tab/>
      </w: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bl>
      <w:tblPr/>
      <w:tblGrid>
        <w:gridCol w:w="3255"/>
        <w:gridCol w:w="5807"/>
      </w:tblGrid>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NOM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ADRESSE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TELEPHONE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right"/>
              <w:rPr>
                <w:color w:val="auto"/>
                <w:spacing w:val="0"/>
                <w:position w:val="0"/>
              </w:rPr>
            </w:pPr>
            <w:r>
              <w:rPr>
                <w:rFonts w:ascii="Arial" w:hAnsi="Arial" w:cs="Arial" w:eastAsia="Arial"/>
                <w:b/>
                <w:color w:val="auto"/>
                <w:spacing w:val="0"/>
                <w:position w:val="0"/>
                <w:sz w:val="16"/>
                <w:shd w:fill="auto" w:val="clear"/>
              </w:rPr>
              <w:t xml:space="preserve">MAIL :</w:t>
            </w:r>
          </w:p>
        </w:tc>
        <w:tc>
          <w:tcPr>
            <w:tcW w:w="580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1.4. Numéro d’appel d’urgence</w:t>
      </w:r>
    </w:p>
    <w:p>
      <w:pPr>
        <w:tabs>
          <w:tab w:val="left" w:pos="3924" w:leader="none"/>
        </w:tabs>
        <w:suppressAutoHyphens w:val="true"/>
        <w:spacing w:before="120" w:after="0" w:line="288"/>
        <w:ind w:right="439" w:left="4088" w:hanging="396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uppressAutoHyphens w:val="true"/>
        <w:spacing w:before="120" w:after="0" w:line="288"/>
        <w:ind w:right="439" w:left="4088" w:hanging="396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France : +33 (0)1 45 42 59 59</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RUBRIQUE 2 : Identification des dangers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2.1 Classification de la substance ou du mélange</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16"/>
          <w:shd w:fill="auto" w:val="clear"/>
        </w:rPr>
        <w:t xml:space="preserve">Classification selon le règlement (CE) N° 1272/2008 [CLP]</w:t>
      </w:r>
    </w:p>
    <w:p>
      <w:pPr>
        <w:suppressAutoHyphens w:val="true"/>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7"/>
        <w:gridCol w:w="2404"/>
      </w:tblGrid>
      <w:tr>
        <w:trPr>
          <w:trHeight w:val="1" w:hRule="atLeast"/>
          <w:jc w:val="left"/>
        </w:trPr>
        <w:tc>
          <w:tcPr>
            <w:tcW w:w="6657"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 pour le milieu aquatique, Toxicité chronique Catégorie 3</w:t>
            </w:r>
          </w:p>
        </w:tc>
        <w:tc>
          <w:tcPr>
            <w:tcW w:w="2404"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Aquatic Chronic 3</w:t>
            </w:r>
          </w:p>
        </w:tc>
      </w:tr>
    </w:tbl>
    <w:p>
      <w:pPr>
        <w:suppressAutoHyphens w:val="true"/>
        <w:spacing w:before="0" w:after="0" w:line="240"/>
        <w:ind w:right="0" w:left="-567"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16"/>
          <w:shd w:fill="auto" w:val="clear"/>
        </w:rPr>
        <w:t xml:space="preserve">Effets néfastes physico-chimiques, pour la santé humaine et pour l’environnement</w:t>
      </w:r>
    </w:p>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2.2 Eléments d’étiquetage</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C0504D"/>
          <w:spacing w:val="0"/>
          <w:position w:val="0"/>
          <w:sz w:val="16"/>
          <w:shd w:fill="auto" w:val="clear"/>
        </w:rPr>
        <w:t xml:space="preserve">Etiquetage selon le règlement (CE) N° 1272/2008 [CLP]</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uppressAutoHyphens w:val="true"/>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uppressAutoHyphens w:val="true"/>
        <w:spacing w:before="3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Mentions de dangers (CLP)</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tbl>
      <w:tblPr/>
      <w:tblGrid>
        <w:gridCol w:w="1128"/>
        <w:gridCol w:w="7933"/>
      </w:tblGrid>
      <w:tr>
        <w:trPr>
          <w:trHeight w:val="1" w:hRule="atLeast"/>
          <w:jc w:val="left"/>
        </w:trPr>
        <w:tc>
          <w:tcPr>
            <w:tcW w:w="112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H412</w:t>
            </w:r>
          </w:p>
        </w:tc>
        <w:tc>
          <w:tcPr>
            <w:tcW w:w="793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tbl>
      <w:tblPr/>
      <w:tblGrid>
        <w:gridCol w:w="1270"/>
        <w:gridCol w:w="7792"/>
      </w:tblGrid>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P101</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P102</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P103</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P273</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P501</w:t>
            </w:r>
          </w:p>
        </w:tc>
        <w:tc>
          <w:tcPr>
            <w:tcW w:w="779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 Cedramber, Linalool, Linalyl acetate, Iso E Super, Patchouli oil, Bergamot oil, Salicylate de benzyle, Helional, Cashmeran. Peut produire une réaction allergique.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2.3 Autres dangers</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tabs>
          <w:tab w:val="left" w:pos="565" w:leader="none"/>
        </w:tabs>
        <w:spacing w:before="120" w:after="0" w:line="240"/>
        <w:ind w:right="0" w:left="119" w:firstLine="0"/>
        <w:jc w:val="left"/>
        <w:rPr>
          <w:rFonts w:ascii="Arial" w:hAnsi="Arial" w:cs="Arial" w:eastAsia="Arial"/>
          <w:b/>
          <w:color w:val="auto"/>
          <w:spacing w:val="-2"/>
          <w:position w:val="0"/>
          <w:sz w:val="20"/>
          <w:shd w:fill="auto" w:val="clear"/>
        </w:rPr>
      </w:pPr>
      <w:r>
        <w:rPr>
          <w:rFonts w:ascii="Arial" w:hAnsi="Arial" w:cs="Arial" w:eastAsia="Arial"/>
          <w:b/>
          <w:color w:val="auto"/>
          <w:spacing w:val="0"/>
          <w:position w:val="0"/>
          <w:sz w:val="20"/>
          <w:shd w:fill="auto" w:val="clear"/>
        </w:rPr>
        <w:t xml:space="preserve">RUBRIQUE 3 : Composition/informations</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sur</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les</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2"/>
          <w:position w:val="0"/>
          <w:sz w:val="20"/>
          <w:shd w:fill="auto" w:val="clear"/>
        </w:rPr>
        <w:t xml:space="preserve">composants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3.1 Substances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3.2 Mélanges</w:t>
      </w:r>
    </w:p>
    <w:tbl>
      <w:tblPr/>
      <w:tblGrid>
        <w:gridCol w:w="2547"/>
        <w:gridCol w:w="1416"/>
        <w:gridCol w:w="1471"/>
        <w:gridCol w:w="1362"/>
        <w:gridCol w:w="2838"/>
      </w:tblGrid>
      <w:tr>
        <w:trPr>
          <w:trHeight w:val="394" w:hRule="auto"/>
          <w:jc w:val="left"/>
        </w:trPr>
        <w:tc>
          <w:tcPr>
            <w:tcW w:w="2547"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NOM</w:t>
            </w:r>
          </w:p>
        </w:tc>
        <w:tc>
          <w:tcPr>
            <w:tcW w:w="1416"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 CAS</w:t>
            </w:r>
          </w:p>
        </w:tc>
        <w:tc>
          <w:tcPr>
            <w:tcW w:w="1471"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 EC</w:t>
            </w:r>
          </w:p>
        </w:tc>
        <w:tc>
          <w:tcPr>
            <w:tcW w:w="1362"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w:t>
            </w:r>
          </w:p>
        </w:tc>
        <w:tc>
          <w:tcPr>
            <w:tcW w:w="2838" w:type="dxa"/>
            <w:tcBorders>
              <w:top w:val="single" w:color="365f91" w:sz="5"/>
              <w:left w:val="single" w:color="365f91" w:sz="5"/>
              <w:bottom w:val="single" w:color="365f91" w:sz="5"/>
              <w:right w:val="single" w:color="365f91"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Classification selon le règlement (CE) N° 1272/2008 [CLP]</w:t>
            </w: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Cedramber</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19870-74-7</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243-384-7</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0.22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0.445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Acute 1, H400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1, H410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Linalool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78-70-6</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201-134-4</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0.2-0.395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Linalyl acetate</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115-95-7</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204-116-4</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0.16-0.31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0"/>
                <w:position w:val="0"/>
                <w:sz w:val="16"/>
                <w:shd w:fill="auto" w:val="clear"/>
              </w:rPr>
              <w:t xml:space="preserve">Iso</w:t>
            </w:r>
            <w:r>
              <w:rPr>
                <w:rFonts w:ascii="Arial" w:hAnsi="Arial" w:cs="Arial" w:eastAsia="Arial"/>
                <w:color w:val="auto"/>
                <w:spacing w:val="-1"/>
                <w:position w:val="0"/>
                <w:sz w:val="16"/>
                <w:shd w:fill="auto" w:val="clear"/>
              </w:rPr>
              <w:t xml:space="preserve"> </w:t>
            </w:r>
            <w:r>
              <w:rPr>
                <w:rFonts w:ascii="Arial" w:hAnsi="Arial" w:cs="Arial" w:eastAsia="Arial"/>
                <w:color w:val="auto"/>
                <w:spacing w:val="0"/>
                <w:position w:val="0"/>
                <w:sz w:val="16"/>
                <w:shd w:fill="auto" w:val="clear"/>
              </w:rPr>
              <w:t xml:space="preserve">E Super</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54464-57-2</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259-174-3</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0.16-0.31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 H317</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1, H410</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Patchouli oil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8014-09-3</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616-944-7</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0.14-0.28</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Asp. Tox. 1, H304</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2, H411</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8007-75-8</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289-612-9</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0.14-0.28</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Flam. Liq. 3, H226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Asp. Tox. 1, H304</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3, H412</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Salicylate de benzyle</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118-58-1</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204-262-9</w:t>
            </w:r>
          </w:p>
          <w:p>
            <w:pPr>
              <w:suppressAutoHyphens w:val="true"/>
              <w:spacing w:before="0" w:after="0" w:line="240"/>
              <w:ind w:right="0" w:left="0" w:firstLine="0"/>
              <w:jc w:val="center"/>
              <w:rPr>
                <w:color w:val="auto"/>
                <w:spacing w:val="0"/>
                <w:position w:val="0"/>
              </w:rPr>
            </w:pP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0.11-0.21</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3, H412</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Helional</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1205-17-0</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214-881-6</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0.08-0.15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Repr. 2, H361</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Aquatic Chronic 2, H411</w:t>
            </w:r>
          </w:p>
          <w:p>
            <w:pPr>
              <w:suppressAutoHyphens w:val="true"/>
              <w:spacing w:before="0" w:after="0" w:line="240"/>
              <w:ind w:right="0" w:left="0" w:firstLine="0"/>
              <w:jc w:val="left"/>
              <w:rPr>
                <w:color w:val="auto"/>
                <w:spacing w:val="0"/>
                <w:position w:val="0"/>
              </w:rPr>
            </w:pPr>
          </w:p>
        </w:tc>
      </w:tr>
      <w:tr>
        <w:trPr>
          <w:trHeight w:val="486" w:hRule="auto"/>
          <w:jc w:val="left"/>
        </w:trPr>
        <w:tc>
          <w:tcPr>
            <w:tcW w:w="2547"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Cashmeran</w:t>
            </w:r>
          </w:p>
        </w:tc>
        <w:tc>
          <w:tcPr>
            <w:tcW w:w="1416"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33704-61-9</w:t>
            </w:r>
          </w:p>
        </w:tc>
        <w:tc>
          <w:tcPr>
            <w:tcW w:w="1471"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251-649-3</w:t>
            </w:r>
          </w:p>
        </w:tc>
        <w:tc>
          <w:tcPr>
            <w:tcW w:w="1362"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color w:val="auto"/>
                <w:spacing w:val="0"/>
                <w:position w:val="0"/>
                <w:sz w:val="16"/>
                <w:shd w:fill="auto" w:val="clear"/>
              </w:rPr>
              <w:t xml:space="preserve">0.06-0.115</w:t>
            </w:r>
          </w:p>
        </w:tc>
        <w:tc>
          <w:tcPr>
            <w:tcW w:w="2838" w:type="dxa"/>
            <w:tcBorders>
              <w:top w:val="single" w:color="365f91" w:sz="5"/>
              <w:left w:val="single" w:color="365f91" w:sz="5"/>
              <w:bottom w:val="single" w:color="365f91" w:sz="5"/>
              <w:right w:val="single" w:color="365f91"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Irrit. 2, H315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Eye Irrit. 2, H319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Skin Sens. 1B, H317 </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STOT RE 2, H373</w:t>
            </w: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Aquatic Chronic 2, H411</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2, H411</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4 : Premiers secours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4.1 Description des mesures de premiers secours</w:t>
      </w:r>
    </w:p>
    <w:tbl>
      <w:tblPr/>
      <w:tblGrid>
        <w:gridCol w:w="3822"/>
        <w:gridCol w:w="5240"/>
      </w:tblGrid>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inhalation</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Laver la peau avec beaucoup d'eau. En cas d’irritation</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ou d'éruption cutanée: consulter un médecin.</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Rincer les yeux à l'eau par mesure de précaution.</w:t>
            </w:r>
          </w:p>
          <w:p>
            <w:pPr>
              <w:suppressAutoHyphens w:val="true"/>
              <w:spacing w:before="0" w:after="0" w:line="240"/>
              <w:ind w:right="0" w:left="0" w:firstLine="0"/>
              <w:jc w:val="left"/>
              <w:rPr>
                <w:color w:val="auto"/>
                <w:spacing w:val="0"/>
                <w:position w:val="0"/>
              </w:rPr>
            </w:pPr>
          </w:p>
        </w:tc>
      </w:tr>
      <w:tr>
        <w:trPr>
          <w:trHeight w:val="1" w:hRule="atLeast"/>
          <w:jc w:val="left"/>
        </w:trPr>
        <w:tc>
          <w:tcPr>
            <w:tcW w:w="382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Premiers soins après ingestion</w:t>
              <w:tab/>
              <w:t xml:space="preserve">                :</w:t>
            </w:r>
          </w:p>
        </w:tc>
        <w:tc>
          <w:tcPr>
            <w:tcW w:w="524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Appeler un centre antipoison ou un médecin en cas de malaise.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4.2 Principaux symptômes et effets, aigus et différés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Pas connu</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Traitement symptomatique</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5 : Mesures de lutte contre l’incendie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5.1 Moyens d’extinction</w:t>
      </w:r>
    </w:p>
    <w:tbl>
      <w:tblPr/>
      <w:tblGrid>
        <w:gridCol w:w="3680"/>
        <w:gridCol w:w="5382"/>
      </w:tblGrid>
      <w:tr>
        <w:trPr>
          <w:trHeight w:val="1" w:hRule="atLeast"/>
          <w:jc w:val="left"/>
        </w:trPr>
        <w:tc>
          <w:tcPr>
            <w:tcW w:w="36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Moyens d'extinction appropriés                           :</w:t>
            </w:r>
          </w:p>
        </w:tc>
        <w:tc>
          <w:tcPr>
            <w:tcW w:w="538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Eau pulvérisée. Poudre sèche. Mousse. Dioxyde de carbone.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uppressAutoHyphens w:val="true"/>
              <w:spacing w:before="0" w:after="0" w:line="240"/>
              <w:ind w:right="0" w:left="0" w:firstLine="0"/>
              <w:jc w:val="left"/>
              <w:rPr>
                <w:color w:val="auto"/>
                <w:spacing w:val="0"/>
                <w:position w:val="0"/>
              </w:rPr>
            </w:pP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Dégagement possible de fumées toxiques.</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5.3 Conseils aux pompiers</w:t>
      </w: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Protection en cas d'incendie                              :</w:t>
            </w: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6 : Mesures à prendre en cas de dispersion accidentelle</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6.1.1 Pour les non-secouristes</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3680"/>
        <w:gridCol w:w="5382"/>
      </w:tblGrid>
      <w:tr>
        <w:trPr>
          <w:trHeight w:val="1" w:hRule="atLeast"/>
          <w:jc w:val="left"/>
        </w:trPr>
        <w:tc>
          <w:tcPr>
            <w:tcW w:w="36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Procédures d’urgence                                         : </w:t>
            </w:r>
          </w:p>
        </w:tc>
        <w:tc>
          <w:tcPr>
            <w:tcW w:w="538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70C0"/>
          <w:spacing w:val="0"/>
          <w:position w:val="0"/>
          <w:sz w:val="16"/>
          <w:shd w:fill="auto" w:val="clear"/>
        </w:rPr>
        <w:t xml:space="preserve">6.1.2 Pour les secouristes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3913"/>
        <w:gridCol w:w="5721"/>
      </w:tblGrid>
      <w:tr>
        <w:trPr>
          <w:trHeight w:val="1" w:hRule="atLeast"/>
          <w:jc w:val="left"/>
        </w:trPr>
        <w:tc>
          <w:tcPr>
            <w:tcW w:w="391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7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6.2 Précautions pour la protection de l’environnement</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Eviter le rejet dans l’environnement.</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6.3 Méthodes et matériel de confinement et de nettoyage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6.4 Références à d’autres rubriques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Pour plus d'informations, se reporter à la rubrique 13.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7 : Manipulation et stockage</w:t>
      </w:r>
    </w:p>
    <w:p>
      <w:pPr>
        <w:tabs>
          <w:tab w:val="left" w:pos="565" w:leader="none"/>
        </w:tabs>
        <w:spacing w:before="120" w:after="0" w:line="240"/>
        <w:ind w:right="0" w:left="119" w:firstLine="0"/>
        <w:jc w:val="left"/>
        <w:rPr>
          <w:rFonts w:ascii="Arial" w:hAnsi="Arial" w:cs="Arial" w:eastAsia="Arial"/>
          <w:b/>
          <w:color w:val="C0504D"/>
          <w:spacing w:val="0"/>
          <w:position w:val="0"/>
          <w:sz w:val="18"/>
          <w:shd w:fill="auto" w:val="clear"/>
        </w:rPr>
      </w:pPr>
      <w:r>
        <w:rPr>
          <w:rFonts w:ascii="Arial" w:hAnsi="Arial" w:cs="Arial" w:eastAsia="Arial"/>
          <w:b/>
          <w:color w:val="C0504D"/>
          <w:spacing w:val="0"/>
          <w:position w:val="0"/>
          <w:sz w:val="18"/>
          <w:shd w:fill="auto" w:val="clear"/>
        </w:rPr>
        <w:t xml:space="preserve">7.1 Précautions à prendre pour une manipulation sans danger</w:t>
      </w:r>
    </w:p>
    <w:p>
      <w:pPr>
        <w:tabs>
          <w:tab w:val="left" w:pos="565" w:leader="none"/>
        </w:tabs>
        <w:spacing w:before="120" w:after="0" w:line="240"/>
        <w:ind w:right="0" w:left="119" w:firstLine="0"/>
        <w:jc w:val="left"/>
        <w:rPr>
          <w:rFonts w:ascii="Arial" w:hAnsi="Arial" w:cs="Arial" w:eastAsia="Arial"/>
          <w:b/>
          <w:color w:val="C0504D"/>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7.2 Conditions d'un stockage sûr, y compris les éventuelles incompatibilités</w:t>
      </w:r>
    </w:p>
    <w:tbl>
      <w:tblPr/>
      <w:tblGrid>
        <w:gridCol w:w="3762"/>
        <w:gridCol w:w="5872"/>
      </w:tblGrid>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Conditions de stockage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de stockage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Prescriptions particulières concernant         l'emballage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rFonts w:ascii="Arial" w:hAnsi="Arial" w:cs="Arial" w:eastAsia="Arial"/>
                <w:color w:val="auto"/>
                <w:spacing w:val="0"/>
                <w:position w:val="0"/>
                <w:sz w:val="16"/>
                <w:shd w:fill="auto" w:val="clear"/>
              </w:rPr>
            </w:pPr>
          </w:p>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76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Matériaux d'emballage                                     :</w:t>
            </w:r>
          </w:p>
        </w:tc>
        <w:tc>
          <w:tcPr>
            <w:tcW w:w="587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836967" w:sz="0"/>
              <w:left w:val="single" w:color="836967" w:sz="0"/>
              <w:bottom w:val="single" w:color="836967" w:sz="0"/>
              <w:right w:val="single" w:color="836967" w:sz="0"/>
            </w:tcBorders>
            <w:shd w:color="auto" w:fill="31849b"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RUBRIQUE 8 : Contrôles de l’exposition/protection individuelle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8.1 Paramètres de contrôle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215868"/>
          <w:spacing w:val="0"/>
          <w:position w:val="0"/>
          <w:sz w:val="18"/>
          <w:shd w:fill="auto" w:val="clear"/>
        </w:rPr>
        <w:t xml:space="preserve">8.2 Contrôles de l’exposition</w:t>
      </w: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Non applicable</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9 : Propriétés physiques et chimiques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9.1 Informations sur les propriétés physiques et chimiques essentielles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État physique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Couleur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Odeur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Seuil Olfactif</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de fusion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d’ébullition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Inflammabilité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Point éclair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pH</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Solubilité</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Pression de vapeur</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Masse volumique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Densité relative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Pas disponible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06-01-2025</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applicable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r>
        <w:rPr>
          <w:rFonts w:ascii="Arial" w:hAnsi="Arial" w:cs="Arial" w:eastAsia="Arial"/>
          <w:b/>
          <w:color w:val="auto"/>
          <w:spacing w:val="0"/>
          <w:position w:val="0"/>
          <w:sz w:val="18"/>
          <w:shd w:fill="auto" w:val="clear"/>
        </w:rPr>
        <w:t xml:space="preserve">9.2 Autres informations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10 : Stabilité et réactivité</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10.1 Réactivité</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10.2 Stabilité chimique</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10.3 Possibilité de réactions dangereuses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10.4 Conditions à éviter</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10.5 Matières incompatibles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10.6 Produits de décomposition dangereux</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11 : Informations toxicologiques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11.1 Informations sur les classes de danger telles que définies dans le règlement (CE) n° 1272/2008</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4531"/>
        <w:gridCol w:w="4531"/>
      </w:tblGrid>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(orale)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aiguë (Inhalation)</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Corrosion cutanée/irritation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Lésions oculaires graves/irritation oculaire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Sensibilisation respiratoire ou cutanée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Mutagénicité sur les cellules germinales</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Cancérogénicité</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pour la reproduction</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uppressAutoHyphens w:val="true"/>
              <w:spacing w:before="0" w:after="0" w:line="240"/>
              <w:ind w:right="0" w:left="0" w:firstLine="0"/>
              <w:jc w:val="left"/>
              <w:rPr>
                <w:color w:val="auto"/>
                <w:spacing w:val="0"/>
                <w:position w:val="0"/>
              </w:rPr>
            </w:pP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11.2 Informations sur les autres dangers</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32"/>
          <w:shd w:fill="auto" w:val="clear"/>
        </w:rPr>
        <w:t xml:space="preserve">La Vie Est Belle Huile Parfumée 10%</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12 : Informations écologiques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12.1 Toxicité</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2546"/>
        <w:gridCol w:w="6516"/>
      </w:tblGrid>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uppressAutoHyphens w:val="true"/>
              <w:spacing w:before="0" w:after="0" w:line="240"/>
              <w:ind w:right="0" w:left="0" w:firstLine="0"/>
              <w:jc w:val="left"/>
              <w:rPr>
                <w:color w:val="auto"/>
                <w:spacing w:val="0"/>
                <w:position w:val="0"/>
              </w:rPr>
            </w:pP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uppressAutoHyphens w:val="true"/>
              <w:spacing w:before="0" w:after="0" w:line="240"/>
              <w:ind w:right="0" w:left="0" w:firstLine="0"/>
              <w:jc w:val="left"/>
              <w:rPr>
                <w:color w:val="auto"/>
                <w:spacing w:val="0"/>
                <w:position w:val="0"/>
              </w:rPr>
            </w:pP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Dangers pour le milieu aquatique, à long terme (chronique)</w:t>
            </w:r>
          </w:p>
        </w:tc>
        <w:tc>
          <w:tcPr>
            <w:tcW w:w="651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12.2 Persistance et biodégradabilité</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12.3 Potentiel de bioaccumulation</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12.4 Mobilité dans le sol</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12.5 Résultats des évaluations PBT et vPvB</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12.6 Propriétés perturbant le système endocrinien</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12.6 Propriétés perturbant le système endocrinien</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color w:val="auto"/>
          <w:spacing w:val="0"/>
          <w:position w:val="0"/>
          <w:sz w:val="22"/>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12.7 Autres effets néfastes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Pas d’informations complémentaires disponibles.</w:t>
      </w: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13 : Considérations relatives à l’élimination</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13.1 Méthodes de traitement des déchets</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tbl>
      <w:tblPr/>
      <w:tblGrid>
        <w:gridCol w:w="2971"/>
        <w:gridCol w:w="6091"/>
      </w:tblGrid>
      <w:tr>
        <w:trPr>
          <w:trHeight w:val="1" w:hRule="atLeast"/>
          <w:jc w:val="left"/>
        </w:trPr>
        <w:tc>
          <w:tcPr>
            <w:tcW w:w="297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Méthodes de traitement des déchets</w:t>
            </w:r>
          </w:p>
        </w:tc>
        <w:tc>
          <w:tcPr>
            <w:tcW w:w="609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uppressAutoHyphens w:val="true"/>
              <w:spacing w:before="0" w:after="0" w:line="240"/>
              <w:ind w:right="0" w:left="0" w:firstLine="0"/>
              <w:jc w:val="left"/>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14 : Informations relatives au transport</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En conformité avec: ADR / IMDG / IATA / ADN / RID</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tbl>
      <w:tblPr/>
      <w:tblGrid>
        <w:gridCol w:w="1979"/>
        <w:gridCol w:w="1984"/>
        <w:gridCol w:w="1842"/>
        <w:gridCol w:w="1842"/>
        <w:gridCol w:w="1987"/>
      </w:tblGrid>
      <w:tr>
        <w:trPr>
          <w:trHeight w:val="1" w:hRule="atLeast"/>
          <w:jc w:val="left"/>
        </w:trPr>
        <w:tc>
          <w:tcPr>
            <w:tcW w:w="1979"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ADR</w:t>
            </w:r>
          </w:p>
        </w:tc>
        <w:tc>
          <w:tcPr>
            <w:tcW w:w="1984"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IMDG</w:t>
            </w:r>
          </w:p>
        </w:tc>
        <w:tc>
          <w:tcPr>
            <w:tcW w:w="1842"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IATA</w:t>
            </w:r>
          </w:p>
        </w:tc>
        <w:tc>
          <w:tcPr>
            <w:tcW w:w="1842"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color w:val="auto"/>
                <w:spacing w:val="0"/>
                <w:position w:val="0"/>
              </w:rPr>
            </w:pPr>
            <w:r>
              <w:rPr>
                <w:rFonts w:ascii="Arial" w:hAnsi="Arial" w:cs="Arial" w:eastAsia="Arial"/>
                <w:b/>
                <w:color w:val="auto"/>
                <w:spacing w:val="0"/>
                <w:position w:val="0"/>
                <w:sz w:val="18"/>
                <w:shd w:fill="auto" w:val="clear"/>
              </w:rPr>
              <w:t xml:space="preserve">ADN</w:t>
            </w:r>
          </w:p>
        </w:tc>
        <w:tc>
          <w:tcPr>
            <w:tcW w:w="1987" w:type="dxa"/>
            <w:tcBorders>
              <w:top w:val="single" w:color="4f81bd" w:sz="5"/>
              <w:left w:val="single" w:color="4f81bd" w:sz="5"/>
              <w:bottom w:val="single" w:color="4f81bd" w:sz="5"/>
              <w:right w:val="single" w:color="4f81bd" w:sz="5"/>
            </w:tcBorders>
            <w:shd w:color="auto" w:fill="92cddc" w:val="clear"/>
            <w:tcMar>
              <w:left w:w="10" w:type="dxa"/>
              <w:right w:w="10" w:type="dxa"/>
            </w:tcMar>
            <w:vAlign w:val="top"/>
          </w:tcPr>
          <w:p>
            <w:pPr>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18"/>
                <w:shd w:fill="auto" w:val="clear"/>
              </w:rPr>
              <w:t xml:space="preserve">RID</w:t>
            </w:r>
          </w:p>
          <w:p>
            <w:pPr>
              <w:suppressAutoHyphens w:val="true"/>
              <w:spacing w:before="0" w:after="0" w:line="240"/>
              <w:ind w:right="0" w:left="0" w:firstLine="0"/>
              <w:jc w:val="center"/>
              <w:rPr>
                <w:color w:val="auto"/>
                <w:spacing w:val="0"/>
                <w:position w:val="0"/>
              </w:rPr>
            </w:pPr>
          </w:p>
        </w:tc>
      </w:tr>
    </w:tbl>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2"/>
          <w:position w:val="0"/>
          <w:sz w:val="18"/>
          <w:shd w:fill="auto" w:val="clear"/>
        </w:rPr>
      </w:pPr>
      <w:r>
        <w:rPr>
          <w:rFonts w:ascii="Arial" w:hAnsi="Arial" w:cs="Arial" w:eastAsia="Arial"/>
          <w:b/>
          <w:color w:val="auto"/>
          <w:spacing w:val="0"/>
          <w:position w:val="0"/>
          <w:sz w:val="18"/>
          <w:shd w:fill="auto" w:val="clear"/>
        </w:rPr>
        <w:t xml:space="preserve">14.1.</w:t>
      </w:r>
      <w:r>
        <w:rPr>
          <w:rFonts w:ascii="Arial" w:hAnsi="Arial" w:cs="Arial" w:eastAsia="Arial"/>
          <w:b/>
          <w:color w:val="auto"/>
          <w:spacing w:val="-2"/>
          <w:position w:val="0"/>
          <w:sz w:val="18"/>
          <w:shd w:fill="auto" w:val="clear"/>
        </w:rPr>
        <w:t xml:space="preserve"> </w:t>
      </w:r>
      <w:r>
        <w:rPr>
          <w:rFonts w:ascii="Arial" w:hAnsi="Arial" w:cs="Arial" w:eastAsia="Arial"/>
          <w:b/>
          <w:color w:val="auto"/>
          <w:spacing w:val="0"/>
          <w:position w:val="0"/>
          <w:sz w:val="18"/>
          <w:shd w:fill="auto" w:val="clear"/>
        </w:rPr>
        <w:t xml:space="preserve">Numéro</w:t>
      </w:r>
      <w:r>
        <w:rPr>
          <w:rFonts w:ascii="Arial" w:hAnsi="Arial" w:cs="Arial" w:eastAsia="Arial"/>
          <w:b/>
          <w:color w:val="auto"/>
          <w:spacing w:val="-2"/>
          <w:position w:val="0"/>
          <w:sz w:val="18"/>
          <w:shd w:fill="auto" w:val="clear"/>
        </w:rPr>
        <w:t xml:space="preserve"> </w:t>
      </w:r>
      <w:r>
        <w:rPr>
          <w:rFonts w:ascii="Arial" w:hAnsi="Arial" w:cs="Arial" w:eastAsia="Arial"/>
          <w:b/>
          <w:color w:val="auto"/>
          <w:spacing w:val="0"/>
          <w:position w:val="0"/>
          <w:sz w:val="18"/>
          <w:shd w:fill="auto" w:val="clear"/>
        </w:rPr>
        <w:t xml:space="preserve">ONU</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ou</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numéro</w:t>
      </w:r>
      <w:r>
        <w:rPr>
          <w:rFonts w:ascii="Arial" w:hAnsi="Arial" w:cs="Arial" w:eastAsia="Arial"/>
          <w:b/>
          <w:color w:val="auto"/>
          <w:spacing w:val="-2"/>
          <w:position w:val="0"/>
          <w:sz w:val="18"/>
          <w:shd w:fill="auto" w:val="clear"/>
        </w:rPr>
        <w:t xml:space="preserve"> d’identification</w:t>
      </w:r>
    </w:p>
    <w:p>
      <w:pPr>
        <w:tabs>
          <w:tab w:val="left" w:pos="565" w:leader="none"/>
        </w:tabs>
        <w:spacing w:before="120" w:after="0" w:line="240"/>
        <w:ind w:right="0" w:left="119" w:firstLine="0"/>
        <w:jc w:val="left"/>
        <w:rPr>
          <w:rFonts w:ascii="Arial" w:hAnsi="Arial" w:cs="Arial" w:eastAsia="Arial"/>
          <w:b/>
          <w:color w:val="auto"/>
          <w:spacing w:val="-2"/>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r>
        <w:rPr>
          <w:rFonts w:ascii="Arial" w:hAnsi="Arial" w:cs="Arial" w:eastAsia="Arial"/>
          <w:b/>
          <w:color w:val="auto"/>
          <w:spacing w:val="0"/>
          <w:position w:val="0"/>
          <w:sz w:val="18"/>
          <w:shd w:fill="auto" w:val="clear"/>
        </w:rPr>
        <w:t xml:space="preserve">14.2.</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Désignation</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officielle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transport</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0"/>
          <w:position w:val="0"/>
          <w:sz w:val="18"/>
          <w:shd w:fill="auto" w:val="clear"/>
        </w:rPr>
        <w:t xml:space="preserve">de</w:t>
      </w:r>
      <w:r>
        <w:rPr>
          <w:rFonts w:ascii="Arial" w:hAnsi="Arial" w:cs="Arial" w:eastAsia="Arial"/>
          <w:b/>
          <w:color w:val="auto"/>
          <w:spacing w:val="-3"/>
          <w:position w:val="0"/>
          <w:sz w:val="18"/>
          <w:shd w:fill="auto" w:val="clear"/>
        </w:rPr>
        <w:t xml:space="preserve"> </w:t>
      </w:r>
      <w:r>
        <w:rPr>
          <w:rFonts w:ascii="Arial" w:hAnsi="Arial" w:cs="Arial" w:eastAsia="Arial"/>
          <w:b/>
          <w:color w:val="auto"/>
          <w:spacing w:val="-4"/>
          <w:position w:val="0"/>
          <w:sz w:val="18"/>
          <w:shd w:fill="auto" w:val="clear"/>
        </w:rPr>
        <w:t xml:space="preserve">l'ONU</w:t>
      </w: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center" w:pos="4536" w:leader="none"/>
          <w:tab w:val="right" w:pos="9072"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b/>
          <w:color w:val="auto"/>
          <w:spacing w:val="0"/>
          <w:position w:val="0"/>
          <w:sz w:val="16"/>
          <w:shd w:fill="auto" w:val="clear"/>
        </w:rPr>
        <w:t xml:space="preserve">06-01-2025</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La Vie Est Belle Huile Parfumée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tbl>
      <w:tblPr/>
      <w:tblGrid>
        <w:gridCol w:w="1979"/>
        <w:gridCol w:w="1984"/>
        <w:gridCol w:w="1842"/>
        <w:gridCol w:w="1842"/>
        <w:gridCol w:w="1987"/>
      </w:tblGrid>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Description</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document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transport</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14.3.</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0"/>
                <w:position w:val="0"/>
                <w:sz w:val="18"/>
                <w:shd w:fill="auto" w:val="clear"/>
              </w:rPr>
              <w:t xml:space="preserve">Classe(s)</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danger</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pour</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le</w:t>
            </w:r>
            <w:r>
              <w:rPr>
                <w:rFonts w:ascii="Arial" w:hAnsi="Arial" w:cs="Arial" w:eastAsia="Arial"/>
                <w:b/>
                <w:color w:val="000000"/>
                <w:spacing w:val="-2"/>
                <w:position w:val="0"/>
                <w:sz w:val="18"/>
                <w:shd w:fill="auto" w:val="clear"/>
              </w:rPr>
              <w:t xml:space="preserve"> transport</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14.4.</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Groupe</w:t>
            </w:r>
            <w:r>
              <w:rPr>
                <w:rFonts w:ascii="Arial" w:hAnsi="Arial" w:cs="Arial" w:eastAsia="Arial"/>
                <w:b/>
                <w:color w:val="000000"/>
                <w:spacing w:val="-2"/>
                <w:position w:val="0"/>
                <w:sz w:val="18"/>
                <w:shd w:fill="auto" w:val="clear"/>
              </w:rPr>
              <w:t xml:space="preserve"> d’emballage</w:t>
            </w:r>
          </w:p>
          <w:p>
            <w:pPr>
              <w:suppressAutoHyphens w:val="true"/>
              <w:spacing w:before="0" w:after="0" w:line="240"/>
              <w:ind w:right="0" w:left="0" w:firstLine="0"/>
              <w:jc w:val="left"/>
              <w:rPr>
                <w:position w:val="0"/>
              </w:rPr>
            </w:pPr>
          </w:p>
        </w:tc>
      </w:tr>
      <w:tr>
        <w:trPr>
          <w:trHeight w:val="1" w:hRule="atLeast"/>
          <w:jc w:val="left"/>
        </w:trPr>
        <w:tc>
          <w:tcPr>
            <w:tcW w:w="1979"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42"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987" w:type="dxa"/>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5"/>
              <w:left w:val="single" w:color="4f81bd" w:sz="5"/>
              <w:bottom w:val="single" w:color="4f81bd" w:sz="5"/>
              <w:right w:val="single" w:color="4f81bd"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14.5.</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0"/>
                <w:position w:val="0"/>
                <w:sz w:val="18"/>
                <w:shd w:fill="auto" w:val="clear"/>
              </w:rPr>
              <w:t xml:space="preserve">Dangers</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pour</w:t>
            </w:r>
            <w:r>
              <w:rPr>
                <w:rFonts w:ascii="Arial" w:hAnsi="Arial" w:cs="Arial" w:eastAsia="Arial"/>
                <w:b/>
                <w:color w:val="000000"/>
                <w:spacing w:val="-4"/>
                <w:position w:val="0"/>
                <w:sz w:val="18"/>
                <w:shd w:fill="auto" w:val="clear"/>
              </w:rPr>
              <w:t xml:space="preserve"> </w:t>
            </w:r>
            <w:r>
              <w:rPr>
                <w:rFonts w:ascii="Arial" w:hAnsi="Arial" w:cs="Arial" w:eastAsia="Arial"/>
                <w:b/>
                <w:color w:val="000000"/>
                <w:spacing w:val="-2"/>
                <w:position w:val="0"/>
                <w:sz w:val="18"/>
                <w:shd w:fill="auto" w:val="clear"/>
              </w:rPr>
              <w:t xml:space="preserve">l'environnement</w:t>
            </w:r>
          </w:p>
          <w:p>
            <w:pPr>
              <w:suppressAutoHyphens w:val="true"/>
              <w:spacing w:before="0" w:after="0" w:line="240"/>
              <w:ind w:right="0" w:left="0" w:firstLine="0"/>
              <w:jc w:val="left"/>
              <w:rPr>
                <w:position w:val="0"/>
              </w:rPr>
            </w:pP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 15 : Informations relatives à la réglementation</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15.1 Réglementations/législation particulières à la substance ou au mélange en matière de sécurité, de santé et d’environnement</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15.1.1 </w:t>
      </w:r>
      <w:r>
        <w:rPr>
          <w:rFonts w:ascii="Arial" w:hAnsi="Arial" w:cs="Arial" w:eastAsia="Arial"/>
          <w:b/>
          <w:color w:val="000000"/>
          <w:spacing w:val="0"/>
          <w:position w:val="0"/>
          <w:sz w:val="16"/>
          <w:shd w:fill="auto" w:val="clear"/>
        </w:rPr>
        <w:t xml:space="preserve">Réglementations UE</w:t>
      </w:r>
    </w:p>
    <w:p>
      <w:pPr>
        <w:suppressAutoHyphens w:val="true"/>
        <w:spacing w:before="0" w:after="0" w:line="240"/>
        <w:ind w:right="0" w:left="-567" w:firstLine="0"/>
        <w:jc w:val="left"/>
        <w:rPr>
          <w:rFonts w:ascii="Arial" w:hAnsi="Arial" w:cs="Arial" w:eastAsia="Arial"/>
          <w:b/>
          <w:color w:val="000000"/>
          <w:spacing w:val="0"/>
          <w:position w:val="0"/>
          <w:sz w:val="16"/>
          <w:shd w:fill="auto" w:val="clear"/>
        </w:rPr>
      </w:pPr>
    </w:p>
    <w:p>
      <w:pPr>
        <w:suppressAutoHyphens w:val="true"/>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Annexe XVII de REACH (Liste de restriction)</w:t>
      </w: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tbl>
      <w:tblPr/>
      <w:tblGrid>
        <w:gridCol w:w="1695"/>
        <w:gridCol w:w="2551"/>
        <w:gridCol w:w="4816"/>
      </w:tblGrid>
      <w:tr>
        <w:trPr>
          <w:trHeight w:val="1" w:hRule="atLeast"/>
          <w:jc w:val="left"/>
        </w:trPr>
        <w:tc>
          <w:tcPr>
            <w:tcW w:w="9062" w:type="dxa"/>
            <w:gridSpan w:val="3"/>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Liste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restriction</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l’Union</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européenne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(annexe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XVII</w:t>
            </w:r>
            <w:r>
              <w:rPr>
                <w:rFonts w:ascii="Arial" w:hAnsi="Arial" w:cs="Arial" w:eastAsia="Arial"/>
                <w:b/>
                <w:color w:val="000000"/>
                <w:spacing w:val="-3"/>
                <w:position w:val="0"/>
                <w:sz w:val="18"/>
                <w:shd w:fill="auto" w:val="clear"/>
              </w:rPr>
              <w:t xml:space="preserve"> </w:t>
            </w:r>
            <w:r>
              <w:rPr>
                <w:rFonts w:ascii="Arial" w:hAnsi="Arial" w:cs="Arial" w:eastAsia="Arial"/>
                <w:b/>
                <w:color w:val="000000"/>
                <w:spacing w:val="0"/>
                <w:position w:val="0"/>
                <w:sz w:val="18"/>
                <w:shd w:fill="auto" w:val="clear"/>
              </w:rPr>
              <w:t xml:space="preserve">de</w:t>
            </w:r>
            <w:r>
              <w:rPr>
                <w:rFonts w:ascii="Arial" w:hAnsi="Arial" w:cs="Arial" w:eastAsia="Arial"/>
                <w:b/>
                <w:color w:val="000000"/>
                <w:spacing w:val="-2"/>
                <w:position w:val="0"/>
                <w:sz w:val="18"/>
                <w:shd w:fill="auto" w:val="clear"/>
              </w:rPr>
              <w:t xml:space="preserve"> REACH)</w:t>
            </w:r>
          </w:p>
          <w:p>
            <w:pPr>
              <w:suppressAutoHyphens w:val="true"/>
              <w:spacing w:before="0" w:after="0" w:line="240"/>
              <w:ind w:right="0" w:left="0" w:firstLine="0"/>
              <w:jc w:val="left"/>
              <w:rPr>
                <w:position w:val="0"/>
              </w:rPr>
            </w:pP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position w:val="0"/>
              </w:rPr>
            </w:pPr>
            <w:r>
              <w:rPr>
                <w:rFonts w:ascii="Arial" w:hAnsi="Arial" w:cs="Arial" w:eastAsia="Arial"/>
                <w:b/>
                <w:color w:val="000000"/>
                <w:spacing w:val="0"/>
                <w:position w:val="0"/>
                <w:sz w:val="16"/>
                <w:shd w:fill="auto" w:val="clear"/>
              </w:rPr>
              <w:t xml:space="preserve">Code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référence</w:t>
            </w:r>
          </w:p>
        </w:tc>
        <w:tc>
          <w:tcPr>
            <w:tcW w:w="2551"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b/>
                <w:color w:val="000000"/>
                <w:spacing w:val="0"/>
                <w:position w:val="0"/>
                <w:sz w:val="16"/>
                <w:shd w:fill="auto" w:val="clear"/>
              </w:rPr>
              <w:t xml:space="preserve">Applicable sur</w:t>
            </w:r>
          </w:p>
        </w:tc>
        <w:tc>
          <w:tcPr>
            <w:tcW w:w="4816" w:type="dxa"/>
            <w:tcBorders>
              <w:top w:val="single" w:color="548dd4" w:sz="5"/>
              <w:left w:val="single" w:color="548dd4" w:sz="5"/>
              <w:bottom w:val="single" w:color="548dd4" w:sz="5"/>
              <w:right w:val="single" w:color="548dd4" w:sz="5"/>
            </w:tcBorders>
            <w:shd w:color="auto" w:fill="92cddc"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Titre de l'entrée ou description</w:t>
            </w:r>
          </w:p>
          <w:p>
            <w:pPr>
              <w:suppressAutoHyphens w:val="true"/>
              <w:spacing w:before="0" w:after="0" w:line="240"/>
              <w:ind w:right="0" w:left="0" w:firstLine="0"/>
              <w:jc w:val="left"/>
              <w:rPr>
                <w:spacing w:val="0"/>
                <w:position w:val="0"/>
              </w:rPr>
            </w:pP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tbl>
      <w:tblPr/>
      <w:tblGrid>
        <w:gridCol w:w="1695"/>
        <w:gridCol w:w="2551"/>
        <w:gridCol w:w="4816"/>
      </w:tblGrid>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3(a)</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57" w:after="0" w:line="240"/>
              <w:ind w:right="0" w:left="56"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Substances ou mélanges qui répondent aux critères pour une des classes ou catégories de danger ci-après, visées à l'annexe I du règlement (CE) n° 1272/2008: Classes de danger 2.1 à 2.4, 2.6 et 2.7, 2.8 types A et B, 2.9, 2.10, 2.12, 2.13 catégories 1 et 2, 2.14</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4"/>
                <w:position w:val="0"/>
                <w:sz w:val="16"/>
                <w:shd w:fill="auto" w:val="clear"/>
              </w:rPr>
              <w:t xml:space="preserve">3(b)</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Belle vie  BEL045 ; Cedramber</w:t>
            </w:r>
          </w:p>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 Linalool ; Linalyl acetate</w:t>
            </w:r>
          </w:p>
          <w:p>
            <w:pPr>
              <w:suppressAutoHyphens w:val="true"/>
              <w:spacing w:before="0" w:after="0" w:line="288"/>
              <w:ind w:right="18" w:left="56" w:firstLine="0"/>
              <w:jc w:val="left"/>
              <w:rPr>
                <w:spacing w:val="0"/>
                <w:position w:val="0"/>
              </w:rPr>
            </w:pPr>
            <w:r>
              <w:rPr>
                <w:rFonts w:ascii="Arial" w:hAnsi="Arial" w:cs="Arial" w:eastAsia="Arial"/>
                <w:color w:val="000000"/>
                <w:spacing w:val="0"/>
                <w:position w:val="0"/>
                <w:sz w:val="16"/>
                <w:shd w:fill="auto" w:val="clear"/>
              </w:rPr>
              <w:t xml:space="preserve">; Iso E Super ; Patchouli oil ; Bergamot oil ; Salicylate de benzyle; Helional ; Cashmeran </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position w:val="0"/>
              </w:rPr>
            </w:pPr>
            <w:r>
              <w:rPr>
                <w:rFonts w:ascii="Arial" w:hAnsi="Arial" w:cs="Arial" w:eastAsia="Arial"/>
                <w:color w:val="auto"/>
                <w:spacing w:val="-4"/>
                <w:position w:val="0"/>
                <w:sz w:val="16"/>
                <w:shd w:fill="auto" w:val="clear"/>
              </w:rPr>
              <w:t xml:space="preserve">3(c)</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 BELLE VIE  BEL045 ; Cedramber</w:t>
            </w:r>
          </w:p>
          <w:p>
            <w:pPr>
              <w:suppressAutoHyphens w:val="true"/>
              <w:spacing w:before="0" w:after="0" w:line="288"/>
              <w:ind w:right="18" w:left="56" w:firstLine="0"/>
              <w:jc w:val="left"/>
              <w:rPr>
                <w:color w:val="auto"/>
                <w:spacing w:val="0"/>
                <w:position w:val="0"/>
              </w:rPr>
            </w:pPr>
            <w:r>
              <w:rPr>
                <w:rFonts w:ascii="Arial" w:hAnsi="Arial" w:cs="Arial" w:eastAsia="Arial"/>
                <w:color w:val="auto"/>
                <w:spacing w:val="0"/>
                <w:position w:val="0"/>
                <w:sz w:val="16"/>
                <w:shd w:fill="auto" w:val="clear"/>
              </w:rPr>
              <w:t xml:space="preserve">; Iso E Super ; Patchouli oil ; Bergamot oil ; Salicylate de benzyle ; Helional ; Cashmeran </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 de danger 4.1</w:t>
            </w:r>
          </w:p>
        </w:tc>
      </w:tr>
      <w:tr>
        <w:trPr>
          <w:trHeight w:val="1" w:hRule="atLeast"/>
          <w:jc w:val="left"/>
        </w:trPr>
        <w:tc>
          <w:tcPr>
            <w:tcW w:w="1695"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40.</w:t>
            </w:r>
          </w:p>
        </w:tc>
        <w:tc>
          <w:tcPr>
            <w:tcW w:w="2551"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88"/>
              <w:ind w:right="18" w:left="56" w:firstLine="0"/>
              <w:jc w:val="left"/>
              <w:rPr>
                <w:color w:val="auto"/>
                <w:spacing w:val="0"/>
                <w:position w:val="0"/>
              </w:rPr>
            </w:pPr>
            <w:r>
              <w:rPr>
                <w:rFonts w:ascii="Arial" w:hAnsi="Arial" w:cs="Arial" w:eastAsia="Arial"/>
                <w:color w:val="auto"/>
                <w:spacing w:val="0"/>
                <w:position w:val="0"/>
                <w:sz w:val="16"/>
                <w:shd w:fill="auto" w:val="clear"/>
              </w:rPr>
              <w:t xml:space="preserve">Bergamot oil</w:t>
            </w:r>
          </w:p>
        </w:tc>
        <w:tc>
          <w:tcPr>
            <w:tcW w:w="4816" w:type="dxa"/>
            <w:tcBorders>
              <w:top w:val="single" w:color="548dd4" w:sz="5"/>
              <w:left w:val="single" w:color="548dd4" w:sz="5"/>
              <w:bottom w:val="single" w:color="548dd4" w:sz="5"/>
              <w:right w:val="single" w:color="548dd4" w:sz="5"/>
            </w:tcBorders>
            <w:shd w:color="auto" w:fill="auto" w:val="clear"/>
            <w:tcMar>
              <w:left w:w="10" w:type="dxa"/>
              <w:right w:w="10" w:type="dxa"/>
            </w:tcMar>
            <w:vAlign w:val="top"/>
          </w:tcPr>
          <w:p>
            <w:pPr>
              <w:suppressAutoHyphens w:val="true"/>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pPr>
        <w:tabs>
          <w:tab w:val="left" w:pos="565" w:leader="none"/>
        </w:tabs>
        <w:spacing w:before="120" w:after="0" w:line="240"/>
        <w:ind w:right="0" w:left="119" w:firstLine="0"/>
        <w:jc w:val="left"/>
        <w:rPr>
          <w:rFonts w:ascii="Arial" w:hAnsi="Arial" w:cs="Arial" w:eastAsia="Arial"/>
          <w:b/>
          <w:color w:val="auto"/>
          <w:spacing w:val="-4"/>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suppressAutoHyphens w:val="true"/>
        <w:spacing w:before="122"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Annexe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XIV</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REACH</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(Liste</w:t>
      </w:r>
      <w:r>
        <w:rPr>
          <w:rFonts w:ascii="Arial" w:hAnsi="Arial" w:cs="Arial" w:eastAsia="Arial"/>
          <w:b/>
          <w:color w:val="000000"/>
          <w:spacing w:val="-1"/>
          <w:position w:val="0"/>
          <w:sz w:val="16"/>
          <w:shd w:fill="auto" w:val="clear"/>
        </w:rPr>
        <w:t xml:space="preserve"> </w:t>
      </w:r>
      <w:r>
        <w:rPr>
          <w:rFonts w:ascii="Arial" w:hAnsi="Arial" w:cs="Arial" w:eastAsia="Arial"/>
          <w:b/>
          <w:color w:val="000000"/>
          <w:spacing w:val="-2"/>
          <w:position w:val="0"/>
          <w:sz w:val="16"/>
          <w:shd w:fill="auto" w:val="clear"/>
        </w:rPr>
        <w:t xml:space="preserve">d’autorisation</w:t>
      </w:r>
    </w:p>
    <w:p>
      <w:pPr>
        <w:suppressAutoHyphens w:val="true"/>
        <w:spacing w:before="122"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uppressAutoHyphens w:val="true"/>
        <w:spacing w:before="0" w:after="0" w:line="240"/>
        <w:ind w:right="0" w:left="-567" w:firstLine="0"/>
        <w:jc w:val="left"/>
        <w:rPr>
          <w:rFonts w:ascii="Arial" w:hAnsi="Arial" w:cs="Arial" w:eastAsia="Arial"/>
          <w:color w:val="auto"/>
          <w:spacing w:val="0"/>
          <w:position w:val="0"/>
          <w:sz w:val="16"/>
          <w:shd w:fill="auto" w:val="clear"/>
        </w:rPr>
      </w:pP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Liste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candidate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REACH</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2"/>
          <w:position w:val="0"/>
          <w:sz w:val="16"/>
          <w:shd w:fill="auto" w:val="clear"/>
        </w:rPr>
        <w:t xml:space="preserve">(SVHC)</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PIC</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649/2012,</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consentement</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préalable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en</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connaissance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2"/>
          <w:position w:val="0"/>
          <w:sz w:val="16"/>
          <w:shd w:fill="auto" w:val="clear"/>
        </w:rPr>
        <w:t xml:space="preserve">cause)</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uppressAutoHyphens w:val="true"/>
        <w:spacing w:before="119"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6"/>
          <w:position w:val="0"/>
          <w:sz w:val="16"/>
          <w:shd w:fill="auto" w:val="clear"/>
        </w:rPr>
        <w:t xml:space="preserve"> </w:t>
      </w:r>
      <w:r>
        <w:rPr>
          <w:rFonts w:ascii="Arial" w:hAnsi="Arial" w:cs="Arial" w:eastAsia="Arial"/>
          <w:b/>
          <w:color w:val="000000"/>
          <w:spacing w:val="0"/>
          <w:position w:val="0"/>
          <w:sz w:val="16"/>
          <w:shd w:fill="auto" w:val="clear"/>
        </w:rPr>
        <w:t xml:space="preserve">POP</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2019/1021,</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polluants</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organiques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2"/>
          <w:position w:val="0"/>
          <w:sz w:val="16"/>
          <w:shd w:fill="auto" w:val="clear"/>
        </w:rPr>
        <w:t xml:space="preserve">persistants)</w:t>
      </w: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tabs>
          <w:tab w:val="left" w:pos="565" w:leader="none"/>
        </w:tabs>
        <w:spacing w:before="120" w:after="0" w:line="240"/>
        <w:ind w:right="0" w:left="119" w:firstLine="0"/>
        <w:jc w:val="left"/>
        <w:rPr>
          <w:rFonts w:ascii="Arial" w:hAnsi="Arial" w:cs="Arial" w:eastAsia="Arial"/>
          <w:color w:val="auto"/>
          <w:spacing w:val="-2"/>
          <w:position w:val="0"/>
          <w:sz w:val="16"/>
          <w:shd w:fill="auto" w:val="clear"/>
        </w:rPr>
      </w:pP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La Vie Est Belle Huile Parfumée </w:t>
      </w:r>
      <w:r>
        <w:rPr>
          <w:rFonts w:ascii="Arial" w:hAnsi="Arial" w:cs="Arial" w:eastAsia="Arial"/>
          <w:b/>
          <w:color w:val="auto"/>
          <w:spacing w:val="0"/>
          <w:position w:val="0"/>
          <w:sz w:val="32"/>
          <w:shd w:fill="auto" w:val="clear"/>
        </w:rPr>
        <w:t xml:space="preserve"> 10%</w:t>
      </w:r>
    </w:p>
    <w:p>
      <w:pPr>
        <w:suppressAutoHyphens w:val="true"/>
        <w:spacing w:before="57"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Fiche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Données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w:t>
      </w:r>
      <w:r>
        <w:rPr>
          <w:rFonts w:ascii="Arial" w:hAnsi="Arial" w:cs="Arial" w:eastAsia="Arial"/>
          <w:color w:val="auto"/>
          <w:spacing w:val="-2"/>
          <w:position w:val="0"/>
          <w:sz w:val="24"/>
          <w:shd w:fill="auto" w:val="clear"/>
        </w:rPr>
        <w:t xml:space="preserve"> Sécurité</w:t>
      </w:r>
    </w:p>
    <w:p>
      <w:pPr>
        <w:tabs>
          <w:tab w:val="center" w:pos="4536" w:leader="none"/>
          <w:tab w:val="right" w:pos="9072"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14"/>
          <w:shd w:fill="auto" w:val="clear"/>
        </w:rPr>
        <w:t xml:space="preserve">Conformément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au</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(CE)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n°</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1907/2006</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(REACH)</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modifié</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par</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le</w:t>
      </w:r>
      <w:r>
        <w:rPr>
          <w:rFonts w:ascii="Arial" w:hAnsi="Arial" w:cs="Arial" w:eastAsia="Arial"/>
          <w:color w:val="auto"/>
          <w:spacing w:val="-4"/>
          <w:position w:val="0"/>
          <w:sz w:val="14"/>
          <w:shd w:fill="auto" w:val="clear"/>
        </w:rPr>
        <w:t xml:space="preserve"> </w:t>
      </w:r>
      <w:r>
        <w:rPr>
          <w:rFonts w:ascii="Arial" w:hAnsi="Arial" w:cs="Arial" w:eastAsia="Arial"/>
          <w:color w:val="auto"/>
          <w:spacing w:val="0"/>
          <w:position w:val="0"/>
          <w:sz w:val="14"/>
          <w:shd w:fill="auto" w:val="clear"/>
        </w:rPr>
        <w:t xml:space="preserve">règlement</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(UE)</w:t>
      </w:r>
      <w:r>
        <w:rPr>
          <w:rFonts w:ascii="Arial" w:hAnsi="Arial" w:cs="Arial" w:eastAsia="Arial"/>
          <w:color w:val="auto"/>
          <w:spacing w:val="-3"/>
          <w:position w:val="0"/>
          <w:sz w:val="14"/>
          <w:shd w:fill="auto" w:val="clear"/>
        </w:rPr>
        <w:t xml:space="preserve"> </w:t>
      </w:r>
      <w:r>
        <w:rPr>
          <w:rFonts w:ascii="Arial" w:hAnsi="Arial" w:cs="Arial" w:eastAsia="Arial"/>
          <w:color w:val="auto"/>
          <w:spacing w:val="0"/>
          <w:position w:val="0"/>
          <w:sz w:val="14"/>
          <w:shd w:fill="auto" w:val="clear"/>
        </w:rPr>
        <w:t xml:space="preserve">2020/878</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Date d’émission: 8/2/2023</w:t>
      </w: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4"/>
          <w:shd w:fill="auto" w:val="clear"/>
        </w:rPr>
      </w:pP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6"/>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l’appauvrissement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4"/>
          <w:position w:val="0"/>
          <w:sz w:val="16"/>
          <w:shd w:fill="auto" w:val="clear"/>
        </w:rPr>
        <w:t xml:space="preserve"> </w:t>
      </w:r>
      <w:r>
        <w:rPr>
          <w:rFonts w:ascii="Arial" w:hAnsi="Arial" w:cs="Arial" w:eastAsia="Arial"/>
          <w:b/>
          <w:color w:val="000000"/>
          <w:spacing w:val="0"/>
          <w:position w:val="0"/>
          <w:sz w:val="16"/>
          <w:shd w:fill="auto" w:val="clear"/>
        </w:rPr>
        <w:t xml:space="preserve">la</w:t>
      </w:r>
      <w:r>
        <w:rPr>
          <w:rFonts w:ascii="Arial" w:hAnsi="Arial" w:cs="Arial" w:eastAsia="Arial"/>
          <w:b/>
          <w:color w:val="000000"/>
          <w:spacing w:val="-5"/>
          <w:position w:val="0"/>
          <w:sz w:val="16"/>
          <w:shd w:fill="auto" w:val="clear"/>
        </w:rPr>
        <w:t xml:space="preserve"> </w:t>
      </w:r>
      <w:r>
        <w:rPr>
          <w:rFonts w:ascii="Arial" w:hAnsi="Arial" w:cs="Arial" w:eastAsia="Arial"/>
          <w:b/>
          <w:color w:val="000000"/>
          <w:spacing w:val="0"/>
          <w:position w:val="0"/>
          <w:sz w:val="16"/>
          <w:shd w:fill="auto" w:val="clear"/>
        </w:rPr>
        <w:t xml:space="preserve">couche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d’ozone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2"/>
          <w:position w:val="0"/>
          <w:sz w:val="16"/>
          <w:shd w:fill="auto" w:val="clear"/>
        </w:rPr>
        <w:t xml:space="preserve">1005/2009)</w:t>
      </w:r>
    </w:p>
    <w:p>
      <w:pPr>
        <w:suppressAutoHyphens w:val="true"/>
        <w:spacing w:before="157"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aucune</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substance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listée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appauvrissant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couche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d’ozone</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n°</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1005/2009</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 substances appauvrissant la couche d’ozone)</w:t>
      </w:r>
    </w:p>
    <w:p>
      <w:pPr>
        <w:suppressAutoHyphens w:val="true"/>
        <w:spacing w:before="97" w:after="0" w:line="288"/>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précurseurs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d’explosifs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(UE</w:t>
      </w:r>
      <w:r>
        <w:rPr>
          <w:rFonts w:ascii="Arial" w:hAnsi="Arial" w:cs="Arial" w:eastAsia="Arial"/>
          <w:b/>
          <w:color w:val="000000"/>
          <w:spacing w:val="-2"/>
          <w:position w:val="0"/>
          <w:sz w:val="16"/>
          <w:shd w:fill="auto" w:val="clear"/>
        </w:rPr>
        <w:t xml:space="preserve"> 2019/1148)</w:t>
      </w:r>
    </w:p>
    <w:p>
      <w:pPr>
        <w:suppressAutoHyphens w:val="true"/>
        <w:spacing w:before="97" w:after="0" w:line="288"/>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pas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listée(s)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précurseurs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d’explosifs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UE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2019/1148</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commercialisation</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et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 l’utilisation des précurseurs d’explosifs)</w:t>
      </w:r>
    </w:p>
    <w:p>
      <w:pPr>
        <w:suppressAutoHyphens w:val="true"/>
        <w:spacing w:before="12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6"/>
          <w:shd w:fill="auto" w:val="clear"/>
        </w:rPr>
        <w:t xml:space="preserve">Règlement</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sur</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les</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précurseurs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de</w:t>
      </w:r>
      <w:r>
        <w:rPr>
          <w:rFonts w:ascii="Arial" w:hAnsi="Arial" w:cs="Arial" w:eastAsia="Arial"/>
          <w:b/>
          <w:color w:val="000000"/>
          <w:spacing w:val="-2"/>
          <w:position w:val="0"/>
          <w:sz w:val="16"/>
          <w:shd w:fill="auto" w:val="clear"/>
        </w:rPr>
        <w:t xml:space="preserve"> </w:t>
      </w:r>
      <w:r>
        <w:rPr>
          <w:rFonts w:ascii="Arial" w:hAnsi="Arial" w:cs="Arial" w:eastAsia="Arial"/>
          <w:b/>
          <w:color w:val="000000"/>
          <w:spacing w:val="0"/>
          <w:position w:val="0"/>
          <w:sz w:val="16"/>
          <w:shd w:fill="auto" w:val="clear"/>
        </w:rPr>
        <w:t xml:space="preserve">drogues</w:t>
      </w:r>
      <w:r>
        <w:rPr>
          <w:rFonts w:ascii="Arial" w:hAnsi="Arial" w:cs="Arial" w:eastAsia="Arial"/>
          <w:b/>
          <w:color w:val="000000"/>
          <w:spacing w:val="-3"/>
          <w:position w:val="0"/>
          <w:sz w:val="16"/>
          <w:shd w:fill="auto" w:val="clear"/>
        </w:rPr>
        <w:t xml:space="preserve"> </w:t>
      </w:r>
      <w:r>
        <w:rPr>
          <w:rFonts w:ascii="Arial" w:hAnsi="Arial" w:cs="Arial" w:eastAsia="Arial"/>
          <w:b/>
          <w:color w:val="000000"/>
          <w:spacing w:val="0"/>
          <w:position w:val="0"/>
          <w:sz w:val="16"/>
          <w:shd w:fill="auto" w:val="clear"/>
        </w:rPr>
        <w:t xml:space="preserve">(CE</w:t>
      </w:r>
      <w:r>
        <w:rPr>
          <w:rFonts w:ascii="Arial" w:hAnsi="Arial" w:cs="Arial" w:eastAsia="Arial"/>
          <w:b/>
          <w:color w:val="000000"/>
          <w:spacing w:val="-1"/>
          <w:position w:val="0"/>
          <w:sz w:val="16"/>
          <w:shd w:fill="auto" w:val="clear"/>
        </w:rPr>
        <w:t xml:space="preserve"> </w:t>
      </w:r>
      <w:r>
        <w:rPr>
          <w:rFonts w:ascii="Arial" w:hAnsi="Arial" w:cs="Arial" w:eastAsia="Arial"/>
          <w:b/>
          <w:color w:val="000000"/>
          <w:spacing w:val="-2"/>
          <w:position w:val="0"/>
          <w:sz w:val="16"/>
          <w:shd w:fill="auto" w:val="clear"/>
        </w:rPr>
        <w:t xml:space="preserve">273/2004)</w:t>
      </w:r>
    </w:p>
    <w:p>
      <w:pPr>
        <w:suppressAutoHyphens w:val="true"/>
        <w:spacing w:before="12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Ne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contient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pas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substance(s)</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listée(s)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dans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liste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précurseurs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drogues</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(Règlement</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CE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273/2004</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relatif</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fabrication</w:t>
      </w:r>
      <w:r>
        <w:rPr>
          <w:rFonts w:ascii="Arial" w:hAnsi="Arial" w:cs="Arial" w:eastAsia="Arial"/>
          <w:color w:val="000000"/>
          <w:spacing w:val="-3"/>
          <w:position w:val="0"/>
          <w:sz w:val="16"/>
          <w:shd w:fill="auto" w:val="clear"/>
        </w:rPr>
        <w:t xml:space="preserve"> </w:t>
      </w:r>
      <w:r>
        <w:rPr>
          <w:rFonts w:ascii="Arial" w:hAnsi="Arial" w:cs="Arial" w:eastAsia="Arial"/>
          <w:color w:val="000000"/>
          <w:spacing w:val="0"/>
          <w:position w:val="0"/>
          <w:sz w:val="16"/>
          <w:shd w:fill="auto" w:val="clear"/>
        </w:rPr>
        <w:t xml:space="preserve">et</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à</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la</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mise</w:t>
      </w:r>
      <w:r>
        <w:rPr>
          <w:rFonts w:ascii="Arial" w:hAnsi="Arial" w:cs="Arial" w:eastAsia="Arial"/>
          <w:color w:val="000000"/>
          <w:spacing w:val="-2"/>
          <w:position w:val="0"/>
          <w:sz w:val="16"/>
          <w:shd w:fill="auto" w:val="clear"/>
        </w:rPr>
        <w:t xml:space="preserve"> </w:t>
      </w:r>
      <w:r>
        <w:rPr>
          <w:rFonts w:ascii="Arial" w:hAnsi="Arial" w:cs="Arial" w:eastAsia="Arial"/>
          <w:color w:val="000000"/>
          <w:spacing w:val="0"/>
          <w:position w:val="0"/>
          <w:sz w:val="16"/>
          <w:shd w:fill="auto" w:val="clear"/>
        </w:rPr>
        <w:t xml:space="preserve">sur le marché de certaines substances utilisées pour la fabrication illicite de stupéfiants et de substances psychotropes).</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15.2 Évaluation de la sécurité chimique</w:t>
      </w:r>
    </w:p>
    <w:p>
      <w:pPr>
        <w:tabs>
          <w:tab w:val="left" w:pos="565" w:leader="none"/>
        </w:tabs>
        <w:spacing w:before="120" w:after="0" w:line="240"/>
        <w:ind w:right="0" w:left="119" w:firstLine="0"/>
        <w:jc w:val="left"/>
        <w:rPr>
          <w:rFonts w:ascii="Arial" w:hAnsi="Arial" w:cs="Arial" w:eastAsia="Arial"/>
          <w:b/>
          <w:color w:val="000000"/>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RUBRIQUE</w:t>
      </w:r>
      <w:r>
        <w:rPr>
          <w:rFonts w:ascii="Arial" w:hAnsi="Arial" w:cs="Arial" w:eastAsia="Arial"/>
          <w:b/>
          <w:color w:val="FFFFFF"/>
          <w:spacing w:val="0"/>
          <w:position w:val="0"/>
          <w:sz w:val="20"/>
          <w:shd w:fill="auto" w:val="clear"/>
        </w:rPr>
        <w:t xml:space="preserve"> </w:t>
      </w:r>
      <w:r>
        <w:rPr>
          <w:rFonts w:ascii="Arial" w:hAnsi="Arial" w:cs="Arial" w:eastAsia="Arial"/>
          <w:b/>
          <w:color w:val="000000"/>
          <w:spacing w:val="0"/>
          <w:position w:val="0"/>
          <w:sz w:val="20"/>
          <w:shd w:fill="auto" w:val="clear"/>
        </w:rPr>
        <w:t xml:space="preserve">16 : Autres informations</w:t>
      </w:r>
    </w:p>
    <w:p>
      <w:pPr>
        <w:tabs>
          <w:tab w:val="left" w:pos="565" w:leader="none"/>
        </w:tabs>
        <w:spacing w:before="120" w:after="0" w:line="240"/>
        <w:ind w:right="0" w:left="119" w:firstLine="0"/>
        <w:jc w:val="left"/>
        <w:rPr>
          <w:rFonts w:ascii="Arial" w:hAnsi="Arial" w:cs="Arial" w:eastAsia="Arial"/>
          <w:b/>
          <w:color w:val="000000"/>
          <w:spacing w:val="0"/>
          <w:position w:val="0"/>
          <w:sz w:val="20"/>
          <w:shd w:fill="auto" w:val="clear"/>
        </w:rPr>
      </w:pP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18"/>
          <w:shd w:fill="auto" w:val="clear"/>
        </w:rPr>
        <w:t xml:space="preserve">Texte</w:t>
      </w:r>
      <w:r>
        <w:rPr>
          <w:rFonts w:ascii="Arial" w:hAnsi="Arial" w:cs="Arial" w:eastAsia="Arial"/>
          <w:b/>
          <w:color w:val="000000"/>
          <w:spacing w:val="-2"/>
          <w:position w:val="0"/>
          <w:sz w:val="18"/>
          <w:shd w:fill="auto" w:val="clear"/>
        </w:rPr>
        <w:t xml:space="preserve"> </w:t>
      </w:r>
      <w:r>
        <w:rPr>
          <w:rFonts w:ascii="Arial" w:hAnsi="Arial" w:cs="Arial" w:eastAsia="Arial"/>
          <w:b/>
          <w:color w:val="000000"/>
          <w:spacing w:val="0"/>
          <w:position w:val="0"/>
          <w:sz w:val="18"/>
          <w:shd w:fill="auto" w:val="clear"/>
        </w:rPr>
        <w:t xml:space="preserve">intégral</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des</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phrases</w:t>
      </w:r>
      <w:r>
        <w:rPr>
          <w:rFonts w:ascii="Arial" w:hAnsi="Arial" w:cs="Arial" w:eastAsia="Arial"/>
          <w:b/>
          <w:color w:val="000000"/>
          <w:spacing w:val="-1"/>
          <w:position w:val="0"/>
          <w:sz w:val="18"/>
          <w:shd w:fill="auto" w:val="clear"/>
        </w:rPr>
        <w:t xml:space="preserve"> </w:t>
      </w:r>
      <w:r>
        <w:rPr>
          <w:rFonts w:ascii="Arial" w:hAnsi="Arial" w:cs="Arial" w:eastAsia="Arial"/>
          <w:b/>
          <w:color w:val="000000"/>
          <w:spacing w:val="0"/>
          <w:position w:val="0"/>
          <w:sz w:val="18"/>
          <w:shd w:fill="auto" w:val="clear"/>
        </w:rPr>
        <w:t xml:space="preserve">H et </w:t>
      </w:r>
      <w:r>
        <w:rPr>
          <w:rFonts w:ascii="Arial" w:hAnsi="Arial" w:cs="Arial" w:eastAsia="Arial"/>
          <w:b/>
          <w:color w:val="000000"/>
          <w:spacing w:val="-4"/>
          <w:position w:val="0"/>
          <w:sz w:val="18"/>
          <w:shd w:fill="auto" w:val="clear"/>
        </w:rPr>
        <w:t xml:space="preserve">EUH:</w:t>
      </w: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tbl>
      <w:tblPr/>
      <w:tblGrid>
        <w:gridCol w:w="987"/>
        <w:gridCol w:w="1700"/>
        <w:gridCol w:w="6947"/>
      </w:tblGrid>
      <w:tr>
        <w:trPr>
          <w:trHeight w:val="324" w:hRule="auto"/>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H226</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Flam. Liq. 3</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Liqude et vapeurs inflammables.</w:t>
            </w:r>
          </w:p>
        </w:tc>
      </w:tr>
      <w:tr>
        <w:trPr>
          <w:trHeight w:val="324" w:hRule="auto"/>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H304</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Asp. Tox. 1</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Peut être mortel en cas d'ingestion et de pénétration dans les voies respiratoires.</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H315</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Skin Irrit.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Provoque une irritation cutanée.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H317</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Skin Sens 1B</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Peut provoquer une allergie cutanée.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H319</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Eye Irrit.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Provoque une sévère irritation des yeux.</w:t>
            </w:r>
          </w:p>
          <w:p>
            <w:pPr>
              <w:suppressAutoHyphens w:val="true"/>
              <w:spacing w:before="0" w:after="0" w:line="240"/>
              <w:ind w:right="0" w:left="0" w:firstLine="0"/>
              <w:jc w:val="left"/>
              <w:rPr>
                <w:spacing w:val="0"/>
                <w:position w:val="0"/>
              </w:rPr>
            </w:pP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H361</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Repr.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Susceptible de nuire à la fertilité ou au f</w:t>
            </w:r>
            <w:r>
              <w:rPr>
                <w:rFonts w:ascii="Arial" w:hAnsi="Arial" w:cs="Arial" w:eastAsia="Arial"/>
                <w:color w:val="000000"/>
                <w:spacing w:val="0"/>
                <w:position w:val="0"/>
                <w:sz w:val="16"/>
                <w:shd w:fill="auto" w:val="clear"/>
              </w:rPr>
              <w:t xml:space="preserve">œtus.</w:t>
            </w:r>
          </w:p>
          <w:p>
            <w:pPr>
              <w:suppressAutoHyphens w:val="true"/>
              <w:spacing w:before="0" w:after="0" w:line="240"/>
              <w:ind w:right="0" w:left="0" w:firstLine="0"/>
              <w:jc w:val="left"/>
              <w:rPr>
                <w:spacing w:val="0"/>
                <w:position w:val="0"/>
              </w:rPr>
            </w:pP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H373</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STOT RE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Risque présumé d'effets graves pour les organes à la suite d'expositions répétées ou d'une exposition prolongée.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H400</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Aquatic Acute 1</w:t>
            </w:r>
          </w:p>
          <w:p>
            <w:pPr>
              <w:suppressAutoHyphens w:val="true"/>
              <w:spacing w:before="0" w:after="0" w:line="240"/>
              <w:ind w:right="0" w:left="0" w:firstLine="0"/>
              <w:jc w:val="left"/>
              <w:rPr>
                <w:spacing w:val="0"/>
                <w:position w:val="0"/>
              </w:rPr>
            </w:pP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Très toxique pour les organismes aquatiques.</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H410</w:t>
            </w: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Aquatic Chronic 1</w:t>
            </w:r>
          </w:p>
          <w:p>
            <w:pPr>
              <w:suppressAutoHyphens w:val="true"/>
              <w:spacing w:before="0" w:after="0" w:line="240"/>
              <w:ind w:right="0" w:left="0" w:firstLine="0"/>
              <w:jc w:val="left"/>
              <w:rPr>
                <w:spacing w:val="0"/>
                <w:position w:val="0"/>
              </w:rPr>
            </w:pP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Très toxique pour les organismes aquatiques, entraîne des effets néfastes à long terme.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H411</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Aquatic Chronic 2</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Toxique pour les organismes aquatiques, entraîne des effets néfastes à long terme.</w:t>
            </w:r>
          </w:p>
        </w:tc>
      </w:tr>
      <w:tr>
        <w:trPr>
          <w:trHeight w:val="1" w:hRule="atLeast"/>
          <w:jc w:val="left"/>
        </w:trPr>
        <w:tc>
          <w:tcPr>
            <w:tcW w:w="98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6"/>
                <w:shd w:fill="auto" w:val="clear"/>
              </w:rPr>
              <w:t xml:space="preserve">H412</w:t>
            </w:r>
          </w:p>
          <w:p>
            <w:pPr>
              <w:suppressAutoHyphens w:val="true"/>
              <w:spacing w:before="0" w:after="0" w:line="240"/>
              <w:ind w:right="0" w:left="0" w:firstLine="0"/>
              <w:jc w:val="left"/>
              <w:rPr>
                <w:spacing w:val="0"/>
                <w:position w:val="0"/>
              </w:rPr>
            </w:pPr>
          </w:p>
        </w:tc>
        <w:tc>
          <w:tcPr>
            <w:tcW w:w="1700"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Aquatic Chronic 3</w:t>
            </w:r>
          </w:p>
        </w:tc>
        <w:tc>
          <w:tcPr>
            <w:tcW w:w="6947" w:type="dxa"/>
            <w:tcBorders>
              <w:top w:val="single" w:color="0070c0" w:sz="5"/>
              <w:left w:val="single" w:color="0070c0" w:sz="5"/>
              <w:bottom w:val="single" w:color="0070c0" w:sz="5"/>
              <w:right w:val="single" w:color="0070c0" w:sz="5"/>
            </w:tcBorders>
            <w:shd w:color="auto" w:fill="auto" w:val="clear"/>
            <w:tcMar>
              <w:left w:w="10" w:type="dxa"/>
              <w:right w:w="10" w:type="dxa"/>
            </w:tcMar>
            <w:vAlign w:val="top"/>
          </w:tcPr>
          <w:p>
            <w:pPr>
              <w:suppressAutoHyphens w:val="true"/>
              <w:spacing w:before="0" w:after="0" w:line="240"/>
              <w:ind w:right="0" w:left="0" w:firstLine="0"/>
              <w:jc w:val="left"/>
              <w:rPr>
                <w:spacing w:val="0"/>
                <w:position w:val="0"/>
              </w:rPr>
            </w:pPr>
            <w:r>
              <w:rPr>
                <w:rFonts w:ascii="Arial" w:hAnsi="Arial" w:cs="Arial" w:eastAsia="Arial"/>
                <w:color w:val="000000"/>
                <w:spacing w:val="0"/>
                <w:position w:val="0"/>
                <w:sz w:val="16"/>
                <w:shd w:fill="auto" w:val="clear"/>
              </w:rPr>
              <w:t xml:space="preserve">Nocif pour les organismes aquatiques, entraîne des effets néfastes à long terme.</w:t>
            </w:r>
          </w:p>
        </w:tc>
      </w:tr>
    </w:tbl>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3924" w:leader="none"/>
        </w:tabs>
        <w:suppressAutoHyphens w:val="true"/>
        <w:spacing w:before="95" w:after="0" w:line="444"/>
        <w:ind w:right="6101" w:left="-567" w:firstLine="0"/>
        <w:jc w:val="left"/>
        <w:rPr>
          <w:rFonts w:ascii="Arial" w:hAnsi="Arial" w:cs="Arial" w:eastAsia="Arial"/>
          <w:color w:val="auto"/>
          <w:spacing w:val="0"/>
          <w:position w:val="0"/>
          <w:sz w:val="22"/>
          <w:shd w:fill="auto" w:val="clear"/>
        </w:rPr>
      </w:pPr>
      <w:r>
        <w:rPr>
          <w:rFonts w:ascii="Arial" w:hAnsi="Arial" w:cs="Arial" w:eastAsia="Arial"/>
          <w:color w:val="808080"/>
          <w:spacing w:val="0"/>
          <w:position w:val="0"/>
          <w:sz w:val="16"/>
          <w:shd w:fill="auto" w:val="clear"/>
        </w:rPr>
        <w:t xml:space="preserve">Fiche de données de sécurité (FDS), UE</w:t>
      </w:r>
    </w:p>
    <w:p>
      <w:pPr>
        <w:tabs>
          <w:tab w:val="left" w:pos="565" w:leader="none"/>
        </w:tabs>
        <w:spacing w:before="120" w:after="0" w:line="240"/>
        <w:ind w:right="0" w:left="119"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p>
      <w:pPr>
        <w:tabs>
          <w:tab w:val="left" w:pos="565" w:leader="none"/>
        </w:tabs>
        <w:spacing w:before="120" w:after="0" w:line="240"/>
        <w:ind w:right="0" w:left="119" w:firstLine="0"/>
        <w:jc w:val="left"/>
        <w:rPr>
          <w:rFonts w:ascii="Arial" w:hAnsi="Arial" w:cs="Arial" w:eastAsia="Arial"/>
          <w:color w:val="808080"/>
          <w:spacing w:val="0"/>
          <w:position w:val="0"/>
          <w:sz w:val="16"/>
          <w:shd w:fill="auto" w:val="clear"/>
        </w:rPr>
      </w:pPr>
    </w:p>
    <w:p>
      <w:pPr>
        <w:tabs>
          <w:tab w:val="left" w:pos="565" w:leader="none"/>
        </w:tabs>
        <w:spacing w:before="120" w:after="0" w:line="240"/>
        <w:ind w:right="0" w:left="119" w:firstLine="0"/>
        <w:jc w:val="left"/>
        <w:rPr>
          <w:rFonts w:ascii="Arial" w:hAnsi="Arial" w:cs="Arial" w:eastAsia="Arial"/>
          <w:b/>
          <w:color w:val="auto"/>
          <w:spacing w:val="0"/>
          <w:position w:val="0"/>
          <w:sz w:val="18"/>
          <w:shd w:fill="auto" w:val="clear"/>
        </w:rPr>
      </w:pPr>
    </w:p>
    <w:p>
      <w:pPr>
        <w:tabs>
          <w:tab w:val="left" w:pos="565" w:leader="none"/>
        </w:tabs>
        <w:spacing w:before="120" w:after="0" w:line="240"/>
        <w:ind w:right="0" w:left="119" w:firstLine="0"/>
        <w:jc w:val="left"/>
        <w:rPr>
          <w:rFonts w:ascii="Arial" w:hAnsi="Arial" w:cs="Arial" w:eastAsia="Arial"/>
          <w:b/>
          <w:color w:val="215868"/>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