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567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Type de senteur</w:t>
      </w:r>
    </w:p>
    <w:p>
      <w:pPr>
        <w:spacing w:before="0" w:after="0" w:line="240"/>
        <w:ind w:right="-567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Fleurie</w:t>
      </w:r>
    </w:p>
    <w:p>
      <w:pPr>
        <w:spacing w:before="0" w:after="0" w:line="240"/>
        <w:ind w:right="-567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Notes de Tête</w:t>
      </w:r>
    </w:p>
    <w:p>
      <w:pPr>
        <w:spacing w:before="0" w:after="0" w:line="240"/>
        <w:ind w:right="-567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Fleur d'oranger, pêche</w:t>
      </w:r>
    </w:p>
    <w:p>
      <w:pPr>
        <w:spacing w:before="0" w:after="0" w:line="240"/>
        <w:ind w:right="-567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Notes de C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œur</w:t>
      </w:r>
    </w:p>
    <w:p>
      <w:pPr>
        <w:spacing w:before="0" w:after="0" w:line="240"/>
        <w:ind w:right="-567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Tiar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é, monoï, ylang, noix de coco, amande</w:t>
      </w:r>
    </w:p>
    <w:p>
      <w:pPr>
        <w:spacing w:before="0" w:after="0" w:line="240"/>
        <w:ind w:right="-567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Notes de Fond</w:t>
      </w:r>
    </w:p>
    <w:p>
      <w:pPr>
        <w:spacing w:before="0" w:after="0" w:line="240"/>
        <w:ind w:right="-567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Tubéreuse, cèdre, vanille</w:t>
      </w:r>
    </w:p>
    <w:p>
      <w:pPr>
        <w:spacing w:before="0" w:after="0" w:line="240"/>
        <w:ind w:right="-567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CMR</w:t>
      </w:r>
    </w:p>
    <w:p>
      <w:pPr>
        <w:spacing w:before="0" w:after="0" w:line="240"/>
        <w:ind w:right="-567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Absence</w:t>
      </w:r>
    </w:p>
    <w:p>
      <w:pPr>
        <w:spacing w:before="0" w:after="0" w:line="240"/>
        <w:ind w:right="-567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Phtalates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AbsenceSociété :      </w:t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(Nom de votre société) </w:t>
      </w: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3" w:after="0" w:line="38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32"/>
          <w:shd w:fill="auto" w:val="clear"/>
        </w:rPr>
        <w:t xml:space="preserve">Ylang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 LA SUBSTANCE ET DE LA SOCIETE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140" w:line="28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1.1. Identification de produit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Ylang - 7%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UFI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02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1.2. Utilisations identifiées pertinentes de la substance ou du mélange et utilisations déconseillées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Usage    : Utilisation par les consommateurs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1.3. Renseignements concernant le fournisseur de la 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de votre société)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mail)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(Numero de téléphone)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99" w:after="0" w:line="32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1.4 Numéro d'appel d'urgence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ORFILA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: 00 33 1 45 42 59 59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2.1. Classification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EUH208 - Contient Benzyl salicylate, Geraniol, Isoeugenol, Linalool.  Peut produire une réaction allergique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79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2.2. Elements d'étiquetage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P102 - Tenir hors de portée des enfants.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EUH208 - Contient Benzyl salicylate, Geraniol, Isoeugenol, Linalool.  Peut produire une réaction allergique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2.3. Autres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1/8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84" w:type="dxa"/>
      </w:tblPr>
      <w:tblGrid>
        <w:gridCol w:w="1498"/>
        <w:gridCol w:w="2749"/>
        <w:gridCol w:w="2380"/>
        <w:gridCol w:w="2073"/>
        <w:gridCol w:w="903"/>
      </w:tblGrid>
      <w:tr>
        <w:trPr>
          <w:trHeight w:val="482" w:hRule="auto"/>
          <w:jc w:val="left"/>
        </w:trPr>
        <w:tc>
          <w:tcPr>
            <w:tcW w:w="1498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27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d'identification </w:t>
            </w:r>
          </w:p>
        </w:tc>
        <w:tc>
          <w:tcPr>
            <w:tcW w:w="2749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Substance </w:t>
            </w: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Classes danger &amp; Phrases H 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471" w:leader="none"/>
              </w:tabs>
              <w:spacing w:before="89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LCS / Facteurs M / ATE /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br/>
              <w:tab/>
            </w: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VLEP-VMEP </w:t>
            </w:r>
          </w:p>
        </w:tc>
        <w:tc>
          <w:tcPr>
            <w:tcW w:w="90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89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Pourcent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120-51-4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204-402-9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01-2119976371-33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Benzyl benzoate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Acute Tox. 4 (Oral), Aquatic Acute 1,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Aquatic Chronic 2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H302, H400, H411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24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ATE (Orale) : 1160mg/kg </w:t>
            </w: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118-58-1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204-262-9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01-2119969442-31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Benzyl salicylate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Irrit. 2, Aquatic Chronic 3, Skin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Sens. 1B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H319, H412,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106-24-1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203-377-1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01-2119552430-49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Geraniol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Dam. 1,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1A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H318,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1063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97-54-1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202-590-7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Isoeugenol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Acute Tox. 4 (Dermal, Acute Tox. 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(Inhala, Acute Tox. 4 (Oral), Eye Irrit.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2, Skin Irrit. 2, Skin Sens. 1A, Stot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Se 3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H312, H332, H302, H319, H315,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H317, H335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24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ATE (Dermale) : 1912mg/kg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ATE (Orale) : 542mg/kg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ATE (Inhalation) : 1.5mg/L </w:t>
            </w: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78-70-6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201-134-4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01-2119474016-42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Linalool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Irrit. 2,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1B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H319,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Ylang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COMPOSITION / INFORMATIONS SUR LES COMPOSANTS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3.1. Substances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3.2. Mélanges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Numéro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age 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Les VLEP et VMEP des différentes substances sont renseignées dans le tableau ci-dessus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4.1. Description des 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la peau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Laver immédiatement avec de l'eau.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les yeux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Rinçage abondant à l'eau (15 minutes les paupières ouvertes).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En cas d'ingestion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rincer la bouche avec de l'eau.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4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4.2. Principaux symptômes et effets, aigus et différés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4.3. Indication des éventuels soins médicaux immédiats et traitements particuliers nécessaires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Si les troubles persistent, consulter un médecin.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DE LUTTE CONTRE L'INCENDIE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2/8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1053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Instructions de lutte contre l'incendie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55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Refroidir les conteneurs exposés par pulvérisation ou brouillard d'eau.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Soyez prudent lors du combat de tout incendie de produits chimiques.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Eviter que les eaux usées de lutte contre l'incendie contaminent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l'environnement. </w:t>
            </w:r>
          </w:p>
        </w:tc>
      </w:tr>
      <w:tr>
        <w:trPr>
          <w:trHeight w:val="528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Protection en cas d'incendie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6" w:after="0" w:line="247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Ne pas pénétrer dans la zone de feu sans équipement de protection, y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compris une protection respiratoire.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Ylang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5.1. Moyens d’extinction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Extincteur à CO2, poudre, mousse ou sable.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5.2. Dangers particuliers résultant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d'informations complémentaires disponibles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5.3. Conseils aux pompiers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EN CAS D'ECOULEMENT ACCIDENTEL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6.1. Précautions individuelles, équipement de protection et procédures d’urgence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Fournir une protection adéquate aux équipes de nettoyage.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Respecter les consignes indiquées au paragraphe 2.2.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Aérer la zone.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6.2. Précautions pour la protection de l’environnement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Empêcher toute contamination du sol et de l'eau, tout écoulement dans les égouts, caniveaux, rivières.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Avertir les autorités si le produit pénètre dans les égouts ou dans les eaux du domaine public.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6.3. Méthodes et matériel de confinement et de nettoyage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Sur le sol, balayer ou pelleter dans des conteneurs de rejet adéquats. Réduire à un minimum la production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poussières. Stocker à l'écart des autres matières.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6.4. Référence à d'autres sections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7. 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MANUTENTION ET STOCKAGE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7.1. Précautions à prendre pour une manipulation sans danger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laver les mains et toute autre zone exposée avec un savon doux et de l'eau, avant de manger, de boire,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fumer, et avant de quitter le travail. Assurer une bonne ventilation de la zone de travail afin d'éviter la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formation de vapeurs.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3/8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78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Conditions de stockage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53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Conserver uniquement dans le récipient d'origine dans un endroit frais et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bien ventilé à l'écart des : Garder les conteneurs fermés en dehors de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leur utilisation. </w:t>
            </w:r>
          </w:p>
        </w:tc>
      </w:tr>
      <w:tr>
        <w:trPr>
          <w:trHeight w:val="264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Produits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Bases fortes. Acides forts. </w:t>
            </w:r>
          </w:p>
        </w:tc>
      </w:tr>
      <w:tr>
        <w:trPr>
          <w:trHeight w:val="264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Matières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Sources d'inflammation. Rayons directs du soleil. </w:t>
            </w:r>
          </w:p>
        </w:tc>
      </w:tr>
      <w:tr>
        <w:trPr>
          <w:trHeight w:val="264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Durée de stockage maximale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6 mois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Ylang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7.2. Conditions nécessaires pour assurer la sécurité du stockage, tenant compte d’éventuelles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incompatibilités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31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7.3. Utilisation(s) finale(s) particulière(s)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8. 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PREVENTION DE L'EXPOSITION/VETEMENTS ET ACCESSOIRES DE PROTECTION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8.1. Paramètres de contrôle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8.2. Contrôles de l’exposition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21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Mesures d'ordre technique : Eviter le contact avec les yeux. Ne pas ingérer. Eviter le contact avec 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aliments et les boissons.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Equipements de protection individuelle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mains : Protection non requise.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yeux : Protection non requise.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respiratoire :  En cas de ventilation insuffisante, porter un appareil respiratoire approprié.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9. 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PROPRIETES PHYSIQUES ET CHIMIQUES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9.1. Informations sur les propriétés physiques et chimiques essentielles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8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Etat Physique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Couleur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Odeur : </w:t>
      </w:r>
    </w:p>
    <w:p>
      <w:pPr>
        <w:spacing w:before="174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4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Solide </w:t>
      </w:r>
    </w:p>
    <w:p>
      <w:pPr>
        <w:spacing w:before="111" w:after="0" w:line="26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0" w:line="28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de fusion/point de congélation    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d'ébullition  :                                 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Inflammabilité :                                      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Limites inférieures et supérieures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d'explosion :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4/8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Ylang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7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éclair en °C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d'auto-inflammation 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de décomposition 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p.H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Viscosité cinématique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Solubilité dans l'eau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Coefficient de partage n-octanol/eau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(log)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Pression de vapeur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relative (d20/20)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de vapeur relative : </w:t>
      </w:r>
    </w:p>
    <w:p>
      <w:pPr>
        <w:spacing w:before="137" w:after="0" w:line="240"/>
        <w:ind w:right="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37" w:after="0" w:line="240"/>
        <w:ind w:right="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&gt;200°C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9.2. 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6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Conservation en mois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Indice de réfraction à 20°C : 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12 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10. 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STABILITE ET REACTIVITE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10.1. Réactivité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de danger particulier à signaler.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10.2. Stabilité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10.3. Possibilité de réactions dangereuses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10.4. Conditions à éviter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Rayons directs du soleil.Ne pas exposer à des températures très élevées ou très basses.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10.5. Matières incompatibles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contact avec les acides, les bases et les agents oxydants.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10.6. Produits de décomposition dangereux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Possibilité de formation de monoxyde, de dioxyde de carbone en cas de combustion.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TOXICOLOGIQUES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11.1. Informations sur les classes de danger telles que définies dans le règlement (CE) n°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5/8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Ylang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5" w:after="20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Linalool </w:t>
      </w:r>
    </w:p>
    <w:p>
      <w:pPr>
        <w:tabs>
          <w:tab w:val="left" w:pos="226" w:leader="none"/>
        </w:tabs>
        <w:spacing w:before="0" w:after="162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2 790,00 mg/kg(Déterminée)     ETAC : Non Déterminée </w:t>
      </w:r>
    </w:p>
    <w:p>
      <w:pPr>
        <w:spacing w:before="0" w:after="162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Benzyl benzoate </w:t>
      </w:r>
    </w:p>
    <w:p>
      <w:pPr>
        <w:tabs>
          <w:tab w:val="left" w:pos="226" w:leader="none"/>
        </w:tabs>
        <w:spacing w:before="0" w:after="162" w:line="287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1 160,00 mg/kg(Déterminée)     ETAC :     0,00 mg/kg(Déterminée)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Benzyl salicylate </w:t>
      </w:r>
    </w:p>
    <w:p>
      <w:pPr>
        <w:tabs>
          <w:tab w:val="left" w:pos="226" w:leader="none"/>
        </w:tabs>
        <w:spacing w:before="0" w:after="15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2 227,00 mg/kg(Déterminée)     ETAC : Non Déterminée </w:t>
      </w:r>
    </w:p>
    <w:p>
      <w:pPr>
        <w:spacing w:before="0" w:after="162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Geraniol </w:t>
      </w:r>
    </w:p>
    <w:p>
      <w:pPr>
        <w:tabs>
          <w:tab w:val="left" w:pos="226" w:leader="none"/>
        </w:tabs>
        <w:spacing w:before="0" w:after="0" w:line="287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3 600,00 mg/kg(Déterminée)     ETAC : Non Déterminée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Isoeugenol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  542,00 mg/kg(Déterminée) 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ETAC : 1 912,00 mg/kg(Déterminée)    ETAI :     1,50 mg/l(Estimée)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53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11.2. Informations sur les autres dangers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12. </w:t>
      </w: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ECOLOGIQUES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12.1. Toxicité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12.2. Persistance et dégradabilité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12.3. Potentiel de bioaccumulation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12.4. Mobilité dans le sol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12.5. Résultats des évaluations PBT et vPvB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12.6. Propriétés perturbatrices endocriniennes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4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12.7. Autres effets néfastes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rejet dans l'environnement.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6/8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Ylang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13. </w:t>
      </w:r>
    </w:p>
    <w:p>
      <w:pPr>
        <w:spacing w:before="18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8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ELIMINATION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13.1. Méthodes de traitement des déchets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Produit et emballages souillés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évacuer conformément à la règlementation en vigueur.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CONCERNANT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Nomenclature Douanière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14.1. Numéro ONU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14.2. Nom d’expédition des Nations unies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14.3. Classe(s) de danger pour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14.4. Groupe d’emballage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3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14.5. Dangers pour l’environnement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 : 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3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14.6. Précautions particulières à prendre par l’utilisateur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référer à la section 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14.7. Transport maritime en vrac conformément aux instruments de l'OMI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REGLEMENTAIRES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15.1. Réglementations/Législation particulières à la substance ou au mélange en matière de sécurité, de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santé et d’environnement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FDS établie selon le réglement (CE) 878/2020, 1272/2008 et 1907/2006 (REACH).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7/8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Ylang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34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15.2. Évaluation de la sécurité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2D2D2D"/>
          <w:spacing w:val="0"/>
          <w:position w:val="0"/>
          <w:sz w:val="19"/>
          <w:shd w:fill="auto" w:val="clear"/>
        </w:rPr>
        <w:t xml:space="preserve">Non concerné.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auto" w:val="clear"/>
        </w:rPr>
        <w:t xml:space="preserve">Texte intégral des phrases H citées en point 3 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3" w:after="0" w:line="26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H302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H302+H312 </w:t>
      </w:r>
    </w:p>
    <w:p>
      <w:pPr>
        <w:spacing w:before="103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3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Nocif en cas d'ingestion.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Nocif en cas d'ingestion ou de contact cutané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H302+H312+H332   Nocif en cas d’ingestion, de contact cutané ou d’inhalation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4" w:after="0" w:line="26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H302+H332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H315 </w:t>
      </w:r>
    </w:p>
    <w:p>
      <w:pPr>
        <w:spacing w:before="104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H317 </w:t>
      </w:r>
    </w:p>
    <w:p>
      <w:pPr>
        <w:spacing w:before="104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H318 </w:t>
      </w:r>
    </w:p>
    <w:p>
      <w:pPr>
        <w:spacing w:before="106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H319 </w:t>
      </w:r>
    </w:p>
    <w:p>
      <w:pPr>
        <w:spacing w:before="104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H335 </w:t>
      </w:r>
    </w:p>
    <w:p>
      <w:pPr>
        <w:spacing w:before="104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H400 </w:t>
      </w:r>
    </w:p>
    <w:p>
      <w:pPr>
        <w:spacing w:before="104" w:after="0" w:line="240"/>
        <w:ind w:right="-1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H411 </w:t>
      </w:r>
    </w:p>
    <w:p>
      <w:pPr>
        <w:spacing w:before="106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H412 </w:t>
      </w:r>
    </w:p>
    <w:p>
      <w:pPr>
        <w:spacing w:before="104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4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Nocif en cas d’ingestion ou d’inhalation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irritation cutanée.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Peut provoquer une allergie cutanée. </w:t>
      </w:r>
    </w:p>
    <w:p>
      <w:pPr>
        <w:spacing w:before="0" w:after="1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de graves lésions des yeux.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sévère irritation des yeux.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Peut irriter les voies respiratoires.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Très toxique pour les organismes aquatiques. </w:t>
      </w:r>
    </w:p>
    <w:p>
      <w:pPr>
        <w:spacing w:before="0" w:after="0" w:line="26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Toxique pour les organismes aquatiques, entraîne des effets néfastes à long terme.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Nocif pour les organismes aquatiques, entraîne des effets néfastes à long terme.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1" w:after="23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Ces indications sont fondées sur l'état actuel de nos connaissances, mais ne constituent pas une garantie quant aux propriétés du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produit et ne donnent pas lieu à un rapport juridique contractuel.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8/8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