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000000"/>
          <w:spacing w:val="-10"/>
          <w:position w:val="0"/>
          <w:sz w:val="44"/>
          <w:shd w:fill="auto" w:val="clear"/>
        </w:rPr>
      </w:pPr>
      <w:r>
        <w:rPr>
          <w:rFonts w:ascii="Calibri" w:hAnsi="Calibri" w:cs="Calibri" w:eastAsia="Calibri"/>
          <w:b/>
          <w:color w:val="000000"/>
          <w:spacing w:val="-10"/>
          <w:position w:val="0"/>
          <w:sz w:val="44"/>
          <w:shd w:fill="auto" w:val="clear"/>
        </w:rPr>
        <w:t xml:space="preserve">Fiche de Données de Sécurité</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Identificateur de produit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 figue 7%.</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identifiées pertinentes de la substance ou du mélange et utilisations déconseillées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Bougie parfumée à destination du grand public.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Renseignements concernant le fournisseur de la fiche de données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Nom</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Rue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Code postal/Ville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Pays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Téléphone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Email</w:t>
            </w:r>
            <w:r>
              <w:rPr>
                <w:rFonts w:ascii="Calibri" w:hAnsi="Calibri" w:cs="Calibri" w:eastAsia="Calibri"/>
                <w:color w:val="000000"/>
                <w:spacing w:val="0"/>
                <w:position w:val="0"/>
                <w:sz w:val="20"/>
                <w:shd w:fill="auto" w:val="clear"/>
              </w:rPr>
              <w:t xml:space="preserve"> : </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d’appel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France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33 (0)1 45 42 59 59. BELGIQUE 070.245.245</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des dangers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Classification de la substance ou du mélange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Classification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Identification des dangers : </w:t>
      </w: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Éléments d’étiquetage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Éléments d'étiquetage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404040"/>
          <w:spacing w:val="0"/>
          <w:position w:val="0"/>
          <w:sz w:val="22"/>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Mentions de danger</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Informations supplémentaires sur les dangers (UE)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EUH208</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Contient 1-(1,2,3,4,5,6,7,8-octahydro-2,3,8,8-tetramethyl-2-naphthyl)ethan-1-one. Peut produire une réaction allergique.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En cas de consultation d’un médecin, garder à disposition le récipient ou l’étiquette.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Tenir hors de portée des enfants.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Lire l’étiquette avant utilisation.</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Prévention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P273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Éviter le rejet dans l'environnement.</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Élimination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P501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Éliminer le contenu/récipient à .....</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aucune substance n'est évaluée comme PBT ou vPvB.</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Composition/informations sur les composants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Mélanges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à la connaissance du produit, aucun nanomatériau n'a été identifié.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0">
        <w:r>
          <w:rPr>
            <w:rFonts w:ascii="Calibri" w:hAnsi="Calibri" w:cs="Calibri" w:eastAsia="Calibri"/>
            <w:color w:val="000000"/>
            <w:spacing w:val="0"/>
            <w:position w:val="0"/>
            <w:sz w:val="20"/>
            <w:u w:val="single"/>
            <w:shd w:fill="auto" w:val="clear"/>
          </w:rPr>
          <w:t xml:space="preserve">http://echa.europa.eu/fr/candidate-list-table</w:t>
        </w:r>
      </w:hyperlink>
      <w:r>
        <w:rPr>
          <w:rFonts w:ascii="Calibri" w:hAnsi="Calibri" w:cs="Calibri" w:eastAsia="Calibri"/>
          <w:color w:val="000000"/>
          <w:spacing w:val="0"/>
          <w:position w:val="0"/>
          <w:sz w:val="20"/>
          <w:shd w:fill="auto" w:val="clear"/>
        </w:rPr>
        <w:t xml:space="preserve">.</w:t>
      </w:r>
    </w:p>
    <w:tbl>
      <w:tblPr>
        <w:tblInd w:w="50" w:type="dxa"/>
      </w:tblPr>
      <w:tblGrid>
        <w:gridCol w:w="1334"/>
        <w:gridCol w:w="1501"/>
        <w:gridCol w:w="1701"/>
        <w:gridCol w:w="1701"/>
        <w:gridCol w:w="3685"/>
      </w:tblGrid>
      <w:tr>
        <w:trPr>
          <w:trHeight w:val="567" w:hRule="auto"/>
          <w:jc w:val="left"/>
        </w:trPr>
        <w:tc>
          <w:tcPr>
            <w:tcW w:w="2835"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Concentration (%)</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de concentration spécifiques</w:t>
            </w:r>
          </w:p>
        </w:tc>
        <w:tc>
          <w:tcPr>
            <w:tcW w:w="368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Classification</w:t>
            </w: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1,3,4,6,7,8-hexahydro-4,6,6,7,8,8-hexamethylindeno[5,6-c]pyran</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1222-05-5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1.26%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Macute = 1</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Aquatic Chronic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214-946-9</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603-212-00-7</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01-2119488227-29-XXXX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1-(1,2,3,4,5,6,7,8-octahydro-2,3,8,8-tetramethyl-2-naphthyl)ethan-1-one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54464-57-2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0.1959999999%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Macute = 1</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Aquatic Chronic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259-174-3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Remarque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Premiers secours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Description des mesures de premiers secours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généraux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d'accident ou de malaise, consulter immédiatement un médecin (montrer le mode d'emploi ou la fiche de données de sécurité si possible).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d’inhalation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Transporter la personne à l’extérieur et la maintenir dans une position où elle peut confortablement respirer.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Après contact avec la peau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de contact avec les yeux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d’ingestion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jamais rien donner par la bouche à une personne inconsciente ou une personne avec des crampes.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Protection des sauveteurs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Premiers secours : faites attention à l'autoprotection !.</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Principaux symptômes et effets, aigus et différés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éventuels soins médicaux immédiats et traitements particuliers nécessaires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Notes pour le médecin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Traitement symptomatique.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de lutte contre l’incendie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Moyens d’extinction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Mousse.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inappropriés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Jet d'eau.</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particuliers résultant de la substance ou du mélange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aux pompiers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à prendre en cas de dispersion accidentelle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individuelles, équipement de protection et procédures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équipement de protection individuelle.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Mettre les personnes en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pour la protection de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S'assurer que les déchets soient collectés et contenus.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Éviter le rejet dans l’environnement.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Couvrir les canalisations.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Veiller à ce que toutes les eaux usées soient recueillies et traitées par une usine de traitement des eaux usées.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pénétrer dans le sol/sous-sol.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laisser entrer dans les eaux de surface ou dans les égouts.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Contenir l'eau de lavage contaminée et l'éliminer.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de fuite de gaz ou d'entrée dans les voies d'eau, le sol ou les égouts, informer les autorités responsables.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Contenir les fuites ou déversements dans des armoires avec des plateaux amovibles.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et matériel de confinement et de nettoyage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dans des conteneurs fermés et appropriés pour l'élimination.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Nettoyer soigneusement les zones et objets contaminés en respectant les réglementations environnementales.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Absorber avec une substance liant les liquides (ex: sable, terre de diatomées, liant d'acides, liant universel).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Essuyer avec une matière absorbante (en tissu, par exemple, laine).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 à d'autres sections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Equipements de protection individuelle : voir la section 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7</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Manipulation et stockage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à prendre pour une manipulation sans danger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Eviter le contact avec la peau, les yeux et les vêtements.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égouts et les conduits doivent être protégés contre l'entrée du produit.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Prévoir des conteneurs de rétention, par exemple, un plancher sans écoulement.</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Retirer les vêtements souillés ou contaminés.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d’un stockage sûr, y compris les éventuelles incompatibilités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Stocker à température ambiante et à l'écart de toute source de chaleur.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Exigences concernant les lieux et conteneurs de stockage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drainage isolé pour empêcher un déversement sur le sol.</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Précautions pour le stockage en commun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Tenir à l'écart de produits alimentaires, de boissons et de nourriture pour animaux.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finale(s) particulière(s)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8</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Contrôles de l’exposition/Protection individuelle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Paramètres de contrôle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professionnelle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 produit ne contient aucune substance soumise à une limite d'exposition professionnelle.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Valeurs limites biologiques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en utilisation prévue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Contrôles de l’exposition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techniques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individuelle, telles que les équipements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oculaire appropriée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des mains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Type de gants appropriés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du corps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Vêtement de protection approprié</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Appareil de protection respiratoire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d’exposition liés à la protection de l’environnement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 de l'exposition des consommateurs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9</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Propriétés physiques et chimiques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propriétés physiques et chimiques essentielles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Liquide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Déterminé(e)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Boisée - Verte - Fruitée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&gt; 101°C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Soluble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Coefficient de partage n-octanol/eau (valeur log)</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dynamique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cinématique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Propriétés comburantes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Caractéristiques des particules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informations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Informations concernant les classes de danger physique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Autres caractéristiques de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10</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Stabilité et réactivité</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Réactivité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Stabilité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Possibilité de réactions dangereuses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à éviter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Matières incompatibles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Produits de décomposition dangereux</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se décompose pas quand utilisé conformément aux utilisations prévues.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toxicologiques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classes de danger telles que définies dans le règlement (CE) no 1272/2008</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orale aiguë</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voie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inhalation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Corrosion/irritation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Lésions oculaires graves/irritation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 la peau</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répétée)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ponctuelle)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Cancérogenicité</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pour la reproduction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Mutagénicité des cellules germinales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des voies respiratoires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Informations complémentaires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Propriétés perturbant le système endocrinien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écologiques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Toxicité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Persistance et dégradabilité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Potentiel de bioaccumulation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Mobilité dans le sol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Résultats des évaluations PBT et vPvB</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aucune substance n'est évaluée comme PBT ou vPvB.</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Propriétés perturbant le système endocrinien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effets néfastes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écotoxicologiques supplémentaires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Considérations relatives à l’élimination</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de traitement des déchets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Élimination des produits/emballages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Codes déchet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Options de traitement des déchets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appropriée/Produit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Déchets exigeant une surveillance spéciale.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Livraison à une société agréée en élimination des déchets.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appropriée/Emballage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Manipuler les emballages contaminés de la même façon que la substance elle-même.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le recyclage, contacter le fabricant.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Collecter les déchets séparément.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Consulter les autorités compétentes en matière d'élimination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mélanger avec d'autres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déchets doivent être séparés des autres types de déchets jusqu'à leur 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ce qui concerne les déchets, ils doivent être vérifiés, si une autorisation de transport est nécessaire.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relatives au transport</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Désignation officielle de transport de l’ONU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Classe(s) de danger pour le transport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Groupe d’emballage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pour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particulières à prendre par l’utilisateur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Transport maritime en vrac conformément aux instruments de l'OMI</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réglementaires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Réglementations/Législation particulières à la substance ou au mélange en matière de sécurité, de santé et d’environnement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SDS a été établie conformément à la réglementation CLP, y compris ses modifications: règlement CLP n ° 1272/2008.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Évaluation de la sécurité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évaluation de la sécurité chimique n'a été effectuée pour cette substance/ce mélange par le fournisseur.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Autres informations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changements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applicable (première édition de la FDS).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Légende des abréviations et acronymes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VPvB : substances très persistantes et très bioaccumulables.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Références bibliographiques et sources de données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Classification des mélanges et méthode d'évaluation utilisée selon le règlement (CE) n ° 1272/2008 [CLP]</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Conforme à l'ATP 18, règlement (UE) n°2022/692.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classification du mélange est conforme à la méthode d'évaluation décrite dans le règlement (CE) n° 1272/2008.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Phrases pertinentes R-, H- et EUH (Numéro et texte intégral)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H315</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irritation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H400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Acute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de formation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création : 18/11/2024</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version : 18/11/2024</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d'impression : 18/11/2024</w:t>
      </w:r>
    </w:p>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Les informations fournies dans cette fiche de données de sécurité sont basées sur nos connaissances actuelles et sur les réglementations européennes et nationales. 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echa.europa.eu/fr/candidate-list-tabl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