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9"/>
        <w:ind w:right="88" w:left="0" w:firstLine="0"/>
        <w:jc w:val="center"/>
        <w:rPr>
          <w:rFonts w:ascii="Arial" w:hAnsi="Arial" w:cs="Arial" w:eastAsia="Arial"/>
          <w:color w:val="000000"/>
          <w:spacing w:val="0"/>
          <w:position w:val="0"/>
          <w:sz w:val="20"/>
          <w:shd w:fill="E0E0E0" w:val="clear"/>
        </w:rPr>
      </w:pPr>
      <w:r>
        <w:rPr>
          <w:rFonts w:ascii="Arial" w:hAnsi="Arial" w:cs="Arial" w:eastAsia="Arial"/>
          <w:b/>
          <w:color w:val="000000"/>
          <w:spacing w:val="0"/>
          <w:position w:val="0"/>
          <w:sz w:val="36"/>
          <w:shd w:fill="E0E0E0" w:val="clear"/>
        </w:rPr>
        <w:t xml:space="preserve">Fiche de données de sécurité</w:t>
      </w:r>
    </w:p>
    <w:p>
      <w:pPr>
        <w:tabs>
          <w:tab w:val="center" w:pos="1779" w:leader="none"/>
          <w:tab w:val="right" w:pos="9620" w:leader="none"/>
        </w:tabs>
        <w:spacing w:before="0" w:after="37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Édité le :</w:t>
        <w:tab/>
        <w:t xml:space="preserve">07/06/2022</w:t>
        <w:tab/>
        <w:t xml:space="preserve">Révision : 001NEW-1-CLP du 07/06/2022</w:t>
      </w:r>
    </w:p>
    <w:p>
      <w:pPr>
        <w:keepNext w:val="true"/>
        <w:keepLines w:val="true"/>
        <w:spacing w:before="0" w:after="136" w:line="259"/>
        <w:ind w:right="86" w:left="0" w:firstLine="0"/>
        <w:jc w:val="center"/>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Lola Lolita 7%</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 IDENTIFICATION DE LA SUBSTANCE/DU MELANGE ET DE LA SOCIETE/L'ENTREPRISE</w:t>
      </w:r>
    </w:p>
    <w:p>
      <w:pPr>
        <w:spacing w:before="0" w:after="134"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 Identificateur de produit</w:t>
      </w:r>
    </w:p>
    <w:p>
      <w:pPr>
        <w:spacing w:before="0" w:after="115"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Lola 7%</w:t>
      </w:r>
    </w:p>
    <w:p>
      <w:pPr>
        <w:spacing w:before="0" w:after="701"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U.F.I.   : NON</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 Utilisations identifiées pertinentes de la substance ou du mélange et utilisations déconseillées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Usage : bougies et fondants</w:t>
      </w:r>
    </w:p>
    <w:p>
      <w:pPr>
        <w:spacing w:before="0" w:after="3" w:line="265"/>
        <w:ind w:right="67" w:left="-5" w:hanging="10"/>
        <w:jc w:val="both"/>
        <w:rPr>
          <w:rFonts w:ascii="Arial" w:hAnsi="Arial" w:cs="Arial" w:eastAsia="Arial"/>
          <w:color w:val="000000"/>
          <w:spacing w:val="0"/>
          <w:position w:val="0"/>
          <w:sz w:val="20"/>
          <w:shd w:fill="auto" w:val="clear"/>
        </w:rPr>
      </w:pPr>
    </w:p>
    <w:p>
      <w:pPr>
        <w:spacing w:before="0" w:after="152"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 Renseignements concernant le fournisseur de la fiche de données de sécurité</w:t>
      </w:r>
    </w:p>
    <w:p>
      <w:pPr>
        <w:spacing w:before="0" w:after="153" w:line="265"/>
        <w:ind w:right="67" w:left="747" w:hanging="10"/>
        <w:jc w:val="both"/>
        <w:rPr>
          <w:rFonts w:ascii="Arial" w:hAnsi="Arial" w:cs="Arial" w:eastAsia="Arial"/>
          <w:color w:val="000000"/>
          <w:spacing w:val="0"/>
          <w:position w:val="0"/>
          <w:sz w:val="18"/>
          <w:shd w:fill="auto" w:val="clear"/>
        </w:rPr>
      </w:pPr>
    </w:p>
    <w:p>
      <w:pPr>
        <w:spacing w:before="0" w:after="153" w:line="265"/>
        <w:ind w:right="67" w:left="747" w:hanging="10"/>
        <w:jc w:val="both"/>
        <w:rPr>
          <w:rFonts w:ascii="Arial" w:hAnsi="Arial" w:cs="Arial" w:eastAsia="Arial"/>
          <w:color w:val="000000"/>
          <w:spacing w:val="0"/>
          <w:position w:val="0"/>
          <w:sz w:val="18"/>
          <w:shd w:fill="auto" w:val="clear"/>
        </w:rPr>
      </w:pPr>
    </w:p>
    <w:p>
      <w:pPr>
        <w:spacing w:before="0" w:after="153" w:line="265"/>
        <w:ind w:right="67" w:left="747" w:hanging="10"/>
        <w:jc w:val="both"/>
        <w:rPr>
          <w:rFonts w:ascii="Arial" w:hAnsi="Arial" w:cs="Arial" w:eastAsia="Arial"/>
          <w:color w:val="000000"/>
          <w:spacing w:val="0"/>
          <w:position w:val="0"/>
          <w:sz w:val="18"/>
          <w:shd w:fill="auto" w:val="clear"/>
        </w:rPr>
      </w:pP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 Numéro d'appel d'urgence</w:t>
      </w:r>
    </w:p>
    <w:p>
      <w:pPr>
        <w:spacing w:before="0" w:after="199" w:line="259"/>
        <w:ind w:right="0" w:left="0" w:firstLine="0"/>
        <w:jc w:val="left"/>
        <w:rPr>
          <w:rFonts w:ascii="Arial" w:hAnsi="Arial" w:cs="Arial" w:eastAsia="Arial"/>
          <w:color w:val="000000"/>
          <w:spacing w:val="0"/>
          <w:position w:val="0"/>
          <w:sz w:val="20"/>
          <w:shd w:fill="auto" w:val="clear"/>
        </w:rPr>
      </w:pPr>
      <w:r>
        <w:rPr>
          <w:rFonts w:ascii="Arial" w:hAnsi="Arial" w:cs="Arial" w:eastAsia="Arial"/>
          <w:i/>
          <w:color w:val="000000"/>
          <w:spacing w:val="0"/>
          <w:position w:val="0"/>
          <w:sz w:val="20"/>
          <w:shd w:fill="auto" w:val="clear"/>
        </w:rPr>
        <w:t xml:space="preserve">Téléphone en cas d’urgence (à utiliser par le médecin traitant) : </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France : </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 de Nancy : + 33 (0)3 83 85 21 92</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Belgique :</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Antipoisons : + 320 22 64 96 36</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Luxembourg :</w:t>
      </w:r>
    </w:p>
    <w:p>
      <w:pPr>
        <w:spacing w:before="0" w:after="82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Antipoisons : + 352 24 78 55 51</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2: IDENTIFICATION DES DANGERS</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2.1. Classification de la substance ou du mélange</w:t>
      </w:r>
    </w:p>
    <w:p>
      <w:pPr>
        <w:spacing w:before="0" w:after="87" w:line="259"/>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u w:val="single"/>
          <w:shd w:fill="auto" w:val="clear"/>
        </w:rPr>
        <w:t xml:space="preserve">Classification GHS :</w:t>
      </w:r>
    </w:p>
    <w:p>
      <w:pPr>
        <w:spacing w:before="0" w:after="187"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(LégislationCLP)</w:t>
      </w:r>
    </w:p>
    <w:p>
      <w:pPr>
        <w:spacing w:before="0" w:after="187" w:line="250"/>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Aquatic Chronic 3 Dangers pour le milieu aquatique - toxicité chronique 3</w:t>
      </w:r>
    </w:p>
    <w:p>
      <w:pPr>
        <w:spacing w:before="0" w:after="187" w:line="250"/>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H412 - Nocif pour les organismes aquatiques, entraîne des effets néfastes à long terme.</w:t>
      </w:r>
    </w:p>
    <w:p>
      <w:pPr>
        <w:spacing w:before="0" w:after="325" w:line="250"/>
        <w:ind w:right="52"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EUH208 - Contient (6E)-3,7-dimethylnona-1,6-dien-3-ol (ethyl linalool), 3,7-dimethylocta-1,6-dien-3-ol (linalool), reaction mass of 1-(1,2,3,4,5,6,7,8 and 1-(1,2,3,4,6,7,8,8a and 1-(1,2,3,5,6,7,8,8a-octahydro-2,3,8,8-tetramethyl-2-naphthyl)ethan-1-one (iso e super), 1,3-benzodioxole-5-carbaldehyde (heliotropin).  Peut produire une réaction allergique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2.2. Éléments d'étiquetage</w:t>
      </w:r>
    </w:p>
    <w:p>
      <w:pPr>
        <w:spacing w:before="0" w:after="87" w:line="259"/>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u w:val="single"/>
          <w:shd w:fill="auto" w:val="clear"/>
        </w:rPr>
        <w:t xml:space="preserve">Classification GHS :</w:t>
      </w:r>
    </w:p>
    <w:p>
      <w:pPr>
        <w:spacing w:before="0" w:after="520"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(LégislationCLP)</w:t>
      </w:r>
    </w:p>
    <w:p>
      <w:pPr>
        <w:spacing w:before="0" w:after="204" w:line="248"/>
        <w:ind w:right="16"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Aquatic Chronic 3 Dangers pour le milieu aquatique - toxicité chronique 3</w:t>
      </w:r>
    </w:p>
    <w:p>
      <w:pPr>
        <w:spacing w:before="0" w:after="204" w:line="248"/>
        <w:ind w:right="16"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H412 - Nocif pour les organismes aquatiques, entraîne des effets néfastes à long terme.</w:t>
      </w:r>
    </w:p>
    <w:p>
      <w:pPr>
        <w:spacing w:before="0" w:after="8" w:line="248"/>
        <w:ind w:right="16"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P273 - Éviter le rejet dans l’environnement.</w:t>
      </w:r>
    </w:p>
    <w:p>
      <w:pPr>
        <w:spacing w:before="0" w:after="204" w:line="248"/>
        <w:ind w:right="16"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P501 - Éliminer le contenu/récipient dans …</w:t>
      </w:r>
    </w:p>
    <w:p>
      <w:pPr>
        <w:spacing w:before="0" w:after="498" w:line="248"/>
        <w:ind w:right="16"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EUH208 - Contient (6E)-3,7-dimethylnona-1,6-dien-3-ol (ethyl linalool), 3,7-dimethylocta-1,6-dien-3-ol (linalool), reaction mass of 1-(1,2,3,4,5,6,7,8 and 1-(1,2,3,4,6,7,8,8a and 1-(1,2,3,5,6,7,8,8a-octahydro-2,3,8,8-tetramethyl-2naphthyl)ethan-1-one (iso e super), 1,3-benzodioxole-5-carbaldehyde (heliotropin).  Peut produire une réaction allergique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2.3. Autres dangers</w:t>
      </w:r>
    </w:p>
    <w:p>
      <w:pPr>
        <w:spacing w:before="0" w:after="784"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applicable </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3: COMPOSITION/INFORMATIONS SUR LES COMPOSANTS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3.1. Substances</w:t>
      </w:r>
    </w:p>
    <w:p>
      <w:pPr>
        <w:spacing w:before="0" w:after="111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 non concerné par la liste de composants. </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3.2. Mélanges</w:t>
      </w:r>
    </w:p>
    <w:tbl>
      <w:tblPr/>
      <w:tblGrid>
        <w:gridCol w:w="3510"/>
        <w:gridCol w:w="991"/>
        <w:gridCol w:w="779"/>
        <w:gridCol w:w="2998"/>
        <w:gridCol w:w="1318"/>
      </w:tblGrid>
      <w:tr>
        <w:trPr>
          <w:trHeight w:val="349" w:hRule="auto"/>
          <w:jc w:val="left"/>
        </w:trPr>
        <w:tc>
          <w:tcPr>
            <w:tcW w:w="3510" w:type="dxa"/>
            <w:tcBorders>
              <w:top w:val="single" w:color="000000" w:sz="2"/>
              <w:left w:val="single" w:color="000000" w:sz="2"/>
              <w:bottom w:val="single" w:color="c0c0c0" w:sz="2"/>
              <w:right w:val="single" w:color="000000" w:sz="4"/>
            </w:tcBorders>
            <w:shd w:color="000000" w:fill="ffffff" w:val="clear"/>
            <w:tcMar>
              <w:left w:w="54" w:type="dxa"/>
              <w:right w:w="54" w:type="dxa"/>
            </w:tcMar>
            <w:vAlign w:val="top"/>
          </w:tcPr>
          <w:p>
            <w:pPr>
              <w:spacing w:before="0" w:after="0" w:line="259"/>
              <w:ind w:right="0" w:left="8" w:firstLine="0"/>
              <w:jc w:val="center"/>
              <w:rPr>
                <w:spacing w:val="0"/>
                <w:position w:val="0"/>
                <w:shd w:fill="auto" w:val="clear"/>
              </w:rPr>
            </w:pPr>
            <w:r>
              <w:rPr>
                <w:rFonts w:ascii="Arial" w:hAnsi="Arial" w:cs="Arial" w:eastAsia="Arial"/>
                <w:color w:val="000000"/>
                <w:spacing w:val="0"/>
                <w:position w:val="0"/>
                <w:sz w:val="16"/>
                <w:shd w:fill="auto" w:val="clear"/>
              </w:rPr>
              <w:t xml:space="preserve">Matière</w:t>
            </w:r>
          </w:p>
        </w:tc>
        <w:tc>
          <w:tcPr>
            <w:tcW w:w="991" w:type="dxa"/>
            <w:tcBorders>
              <w:top w:val="single" w:color="000000" w:sz="2"/>
              <w:left w:val="single" w:color="000000" w:sz="4"/>
              <w:bottom w:val="single" w:color="c0c0c0" w:sz="2"/>
              <w:right w:val="single" w:color="000000" w:sz="5"/>
            </w:tcBorders>
            <w:shd w:color="000000" w:fill="ffffff" w:val="clear"/>
            <w:tcMar>
              <w:left w:w="54" w:type="dxa"/>
              <w:right w:w="54" w:type="dxa"/>
            </w:tcMar>
            <w:vAlign w:val="top"/>
          </w:tcPr>
          <w:p>
            <w:pPr>
              <w:spacing w:before="0" w:after="0" w:line="259"/>
              <w:ind w:right="0" w:left="12" w:firstLine="0"/>
              <w:jc w:val="center"/>
              <w:rPr>
                <w:spacing w:val="0"/>
                <w:position w:val="0"/>
                <w:shd w:fill="auto" w:val="clear"/>
              </w:rPr>
            </w:pPr>
            <w:r>
              <w:rPr>
                <w:rFonts w:ascii="Arial" w:hAnsi="Arial" w:cs="Arial" w:eastAsia="Arial"/>
                <w:color w:val="000000"/>
                <w:spacing w:val="0"/>
                <w:position w:val="0"/>
                <w:sz w:val="16"/>
                <w:shd w:fill="auto" w:val="clear"/>
              </w:rPr>
              <w:t xml:space="preserve">C.A.S</w:t>
            </w:r>
          </w:p>
        </w:tc>
        <w:tc>
          <w:tcPr>
            <w:tcW w:w="779" w:type="dxa"/>
            <w:tcBorders>
              <w:top w:val="single" w:color="000000" w:sz="2"/>
              <w:left w:val="single" w:color="000000" w:sz="5"/>
              <w:bottom w:val="single" w:color="c0c0c0" w:sz="2"/>
              <w:right w:val="single" w:color="000000" w:sz="4"/>
            </w:tcBorders>
            <w:shd w:color="000000" w:fill="ffffff" w:val="clear"/>
            <w:tcMar>
              <w:left w:w="54" w:type="dxa"/>
              <w:right w:w="54" w:type="dxa"/>
            </w:tcMar>
            <w:vAlign w:val="top"/>
          </w:tcPr>
          <w:p>
            <w:pPr>
              <w:spacing w:before="0" w:after="0" w:line="259"/>
              <w:ind w:right="0" w:left="43" w:firstLine="0"/>
              <w:jc w:val="both"/>
              <w:rPr>
                <w:spacing w:val="0"/>
                <w:position w:val="0"/>
                <w:shd w:fill="auto" w:val="clear"/>
              </w:rPr>
            </w:pPr>
            <w:r>
              <w:rPr>
                <w:rFonts w:ascii="Arial" w:hAnsi="Arial" w:cs="Arial" w:eastAsia="Arial"/>
                <w:color w:val="000000"/>
                <w:spacing w:val="0"/>
                <w:position w:val="0"/>
                <w:sz w:val="16"/>
                <w:shd w:fill="auto" w:val="clear"/>
              </w:rPr>
              <w:t xml:space="preserve">EINECS</w:t>
            </w:r>
          </w:p>
        </w:tc>
        <w:tc>
          <w:tcPr>
            <w:tcW w:w="2998" w:type="dxa"/>
            <w:tcBorders>
              <w:top w:val="single" w:color="000000" w:sz="2"/>
              <w:left w:val="single" w:color="000000" w:sz="4"/>
              <w:bottom w:val="single" w:color="c0c0c0" w:sz="2"/>
              <w:right w:val="single" w:color="000000" w:sz="4"/>
            </w:tcBorders>
            <w:shd w:color="000000" w:fill="ffffff" w:val="clear"/>
            <w:tcMar>
              <w:left w:w="54" w:type="dxa"/>
              <w:right w:w="54" w:type="dxa"/>
            </w:tcMar>
            <w:vAlign w:val="top"/>
          </w:tcPr>
          <w:p>
            <w:pPr>
              <w:spacing w:before="0" w:after="0" w:line="259"/>
              <w:ind w:right="0" w:left="15" w:firstLine="0"/>
              <w:jc w:val="center"/>
              <w:rPr>
                <w:spacing w:val="0"/>
                <w:position w:val="0"/>
                <w:shd w:fill="auto" w:val="clear"/>
              </w:rPr>
            </w:pPr>
            <w:r>
              <w:rPr>
                <w:rFonts w:ascii="Arial" w:hAnsi="Arial" w:cs="Arial" w:eastAsia="Arial"/>
                <w:color w:val="000000"/>
                <w:spacing w:val="0"/>
                <w:position w:val="0"/>
                <w:sz w:val="16"/>
                <w:shd w:fill="auto" w:val="clear"/>
              </w:rPr>
              <w:t xml:space="preserve">Symbole de danger</w:t>
            </w:r>
          </w:p>
        </w:tc>
        <w:tc>
          <w:tcPr>
            <w:tcW w:w="1318" w:type="dxa"/>
            <w:tcBorders>
              <w:top w:val="single" w:color="000000" w:sz="2"/>
              <w:left w:val="single" w:color="000000" w:sz="4"/>
              <w:bottom w:val="single" w:color="c0c0c0" w:sz="2"/>
              <w:right w:val="single" w:color="000000" w:sz="2"/>
            </w:tcBorders>
            <w:shd w:color="000000" w:fill="ffffff" w:val="clear"/>
            <w:tcMar>
              <w:left w:w="54" w:type="dxa"/>
              <w:right w:w="54" w:type="dxa"/>
            </w:tcMar>
            <w:vAlign w:val="top"/>
          </w:tcPr>
          <w:p>
            <w:pPr>
              <w:spacing w:before="0" w:after="0" w:line="259"/>
              <w:ind w:right="0" w:left="62" w:firstLine="0"/>
              <w:jc w:val="left"/>
              <w:rPr>
                <w:spacing w:val="0"/>
                <w:position w:val="0"/>
                <w:shd w:fill="auto" w:val="clear"/>
              </w:rPr>
            </w:pPr>
            <w:r>
              <w:rPr>
                <w:rFonts w:ascii="Arial" w:hAnsi="Arial" w:cs="Arial" w:eastAsia="Arial"/>
                <w:color w:val="000000"/>
                <w:spacing w:val="0"/>
                <w:position w:val="0"/>
                <w:sz w:val="16"/>
                <w:shd w:fill="auto" w:val="clear"/>
              </w:rPr>
              <w:t xml:space="preserve">Pourcentage %</w:t>
            </w:r>
          </w:p>
        </w:tc>
      </w:tr>
      <w:tr>
        <w:trPr>
          <w:trHeight w:val="664"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4" w:type="dxa"/>
              <w:right w:w="54" w:type="dxa"/>
            </w:tcMar>
            <w:vAlign w:val="top"/>
          </w:tcPr>
          <w:p>
            <w:pPr>
              <w:spacing w:before="0" w:after="0" w:line="240"/>
              <w:ind w:right="0" w:left="1"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(6E)-3,7-dimethylnona-1,6-dien-3-ol (ethyl linalool)   (No REACH :</w:t>
            </w:r>
          </w:p>
          <w:p>
            <w:pPr>
              <w:spacing w:before="0" w:after="0" w:line="259"/>
              <w:ind w:right="0" w:left="1" w:firstLine="0"/>
              <w:jc w:val="left"/>
              <w:rPr>
                <w:spacing w:val="0"/>
                <w:position w:val="0"/>
                <w:shd w:fill="auto" w:val="clear"/>
              </w:rPr>
            </w:pPr>
            <w:r>
              <w:rPr>
                <w:rFonts w:ascii="Arial" w:hAnsi="Arial" w:cs="Arial" w:eastAsia="Arial"/>
                <w:color w:val="000000"/>
                <w:spacing w:val="0"/>
                <w:position w:val="0"/>
                <w:sz w:val="16"/>
                <w:shd w:fill="auto" w:val="clear"/>
              </w:rPr>
              <w:t xml:space="preserve">01-2119969272-32-XXXX)</w:t>
            </w:r>
          </w:p>
        </w:tc>
        <w:tc>
          <w:tcPr>
            <w:tcW w:w="991"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88" w:firstLine="0"/>
              <w:jc w:val="left"/>
              <w:rPr>
                <w:spacing w:val="0"/>
                <w:position w:val="0"/>
                <w:shd w:fill="auto" w:val="clear"/>
              </w:rPr>
            </w:pPr>
            <w:r>
              <w:rPr>
                <w:rFonts w:ascii="Arial" w:hAnsi="Arial" w:cs="Arial" w:eastAsia="Arial"/>
                <w:color w:val="000000"/>
                <w:spacing w:val="0"/>
                <w:position w:val="0"/>
                <w:sz w:val="14"/>
                <w:shd w:fill="auto" w:val="clear"/>
              </w:rPr>
              <w:t xml:space="preserve">10339-55-6</w:t>
            </w:r>
          </w:p>
        </w:tc>
        <w:tc>
          <w:tcPr>
            <w:tcW w:w="779"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1" w:firstLine="0"/>
              <w:jc w:val="left"/>
              <w:rPr>
                <w:spacing w:val="0"/>
                <w:position w:val="0"/>
                <w:shd w:fill="auto" w:val="clear"/>
              </w:rPr>
            </w:pPr>
            <w:r>
              <w:rPr>
                <w:rFonts w:ascii="Arial" w:hAnsi="Arial" w:cs="Arial" w:eastAsia="Arial"/>
                <w:color w:val="000000"/>
                <w:spacing w:val="0"/>
                <w:position w:val="0"/>
                <w:sz w:val="14"/>
                <w:shd w:fill="auto" w:val="clear"/>
              </w:rPr>
              <w:t xml:space="preserve">233-732-6</w:t>
            </w:r>
          </w:p>
        </w:tc>
        <w:tc>
          <w:tcPr>
            <w:tcW w:w="2998"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Skin Sens. 1B - H317, H319</w:t>
            </w:r>
          </w:p>
        </w:tc>
        <w:tc>
          <w:tcPr>
            <w:tcW w:w="1318" w:type="dxa"/>
            <w:tcBorders>
              <w:top w:val="single" w:color="c0c0c0" w:sz="2"/>
              <w:left w:val="single" w:color="c0c0c0" w:sz="4"/>
              <w:bottom w:val="single" w:color="c0c0c0" w:sz="2"/>
              <w:right w:val="single" w:color="c0c0c0" w:sz="2"/>
            </w:tcBorders>
            <w:shd w:color="000000" w:fill="ffffff" w:val="clear"/>
            <w:tcMar>
              <w:left w:w="54" w:type="dxa"/>
              <w:right w:w="54" w:type="dxa"/>
            </w:tcMar>
            <w:vAlign w:val="center"/>
          </w:tcPr>
          <w:p>
            <w:pPr>
              <w:spacing w:before="0" w:after="0" w:line="259"/>
              <w:ind w:right="0" w:left="4"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656" w:hRule="auto"/>
          <w:jc w:val="left"/>
        </w:trPr>
        <w:tc>
          <w:tcPr>
            <w:tcW w:w="3510" w:type="dxa"/>
            <w:tcBorders>
              <w:top w:val="single" w:color="c0c0c0" w:sz="2"/>
              <w:left w:val="single" w:color="c0c0c0" w:sz="2"/>
              <w:bottom w:val="single" w:color="c0c0c0" w:sz="3"/>
              <w:right w:val="single" w:color="c0c0c0" w:sz="4"/>
            </w:tcBorders>
            <w:shd w:color="000000" w:fill="ffffff" w:val="clear"/>
            <w:tcMar>
              <w:left w:w="54" w:type="dxa"/>
              <w:right w:w="54" w:type="dxa"/>
            </w:tcMar>
            <w:vAlign w:val="top"/>
          </w:tcPr>
          <w:p>
            <w:pPr>
              <w:spacing w:before="0" w:after="0" w:line="259"/>
              <w:ind w:right="0" w:left="1" w:firstLine="0"/>
              <w:jc w:val="both"/>
              <w:rPr>
                <w:spacing w:val="0"/>
                <w:position w:val="0"/>
                <w:shd w:fill="auto" w:val="clear"/>
              </w:rPr>
            </w:pPr>
            <w:r>
              <w:rPr>
                <w:rFonts w:ascii="Arial" w:hAnsi="Arial" w:cs="Arial" w:eastAsia="Arial"/>
                <w:color w:val="000000"/>
                <w:spacing w:val="0"/>
                <w:position w:val="0"/>
                <w:sz w:val="16"/>
                <w:shd w:fill="auto" w:val="clear"/>
              </w:rPr>
              <w:t xml:space="preserve">1,3,4,6,7,8-hexahydro-4,6,6,7,8,8-hexamethylcy clopenta(g)-2-benzopyran (galaxolide)   (No REACH : 01-2119488227-29-0000)</w:t>
            </w:r>
          </w:p>
        </w:tc>
        <w:tc>
          <w:tcPr>
            <w:tcW w:w="991" w:type="dxa"/>
            <w:tcBorders>
              <w:top w:val="single" w:color="c0c0c0" w:sz="2"/>
              <w:left w:val="single" w:color="c0c0c0" w:sz="4"/>
              <w:bottom w:val="single" w:color="c0c0c0" w:sz="3"/>
              <w:right w:val="single" w:color="c0c0c0" w:sz="4"/>
            </w:tcBorders>
            <w:shd w:color="000000" w:fill="ffffff" w:val="clear"/>
            <w:tcMar>
              <w:left w:w="54" w:type="dxa"/>
              <w:right w:w="54" w:type="dxa"/>
            </w:tcMar>
            <w:vAlign w:val="center"/>
          </w:tcPr>
          <w:p>
            <w:pPr>
              <w:spacing w:before="0" w:after="0" w:line="259"/>
              <w:ind w:right="1" w:left="0" w:firstLine="0"/>
              <w:jc w:val="center"/>
              <w:rPr>
                <w:spacing w:val="0"/>
                <w:position w:val="0"/>
                <w:shd w:fill="auto" w:val="clear"/>
              </w:rPr>
            </w:pPr>
            <w:r>
              <w:rPr>
                <w:rFonts w:ascii="Arial" w:hAnsi="Arial" w:cs="Arial" w:eastAsia="Arial"/>
                <w:color w:val="000000"/>
                <w:spacing w:val="0"/>
                <w:position w:val="0"/>
                <w:sz w:val="14"/>
                <w:shd w:fill="auto" w:val="clear"/>
              </w:rPr>
              <w:t xml:space="preserve">1222-05-5</w:t>
            </w:r>
          </w:p>
        </w:tc>
        <w:tc>
          <w:tcPr>
            <w:tcW w:w="779" w:type="dxa"/>
            <w:tcBorders>
              <w:top w:val="single" w:color="c0c0c0" w:sz="2"/>
              <w:left w:val="single" w:color="c0c0c0" w:sz="4"/>
              <w:bottom w:val="single" w:color="c0c0c0" w:sz="3"/>
              <w:right w:val="single" w:color="c0c0c0" w:sz="4"/>
            </w:tcBorders>
            <w:shd w:color="000000" w:fill="ffffff" w:val="clear"/>
            <w:tcMar>
              <w:left w:w="54" w:type="dxa"/>
              <w:right w:w="54" w:type="dxa"/>
            </w:tcMar>
            <w:vAlign w:val="center"/>
          </w:tcPr>
          <w:p>
            <w:pPr>
              <w:spacing w:before="0" w:after="0" w:line="259"/>
              <w:ind w:right="0" w:left="21" w:firstLine="0"/>
              <w:jc w:val="left"/>
              <w:rPr>
                <w:spacing w:val="0"/>
                <w:position w:val="0"/>
                <w:shd w:fill="auto" w:val="clear"/>
              </w:rPr>
            </w:pPr>
            <w:r>
              <w:rPr>
                <w:rFonts w:ascii="Arial" w:hAnsi="Arial" w:cs="Arial" w:eastAsia="Arial"/>
                <w:color w:val="000000"/>
                <w:spacing w:val="0"/>
                <w:position w:val="0"/>
                <w:sz w:val="14"/>
                <w:shd w:fill="auto" w:val="clear"/>
              </w:rPr>
              <w:t xml:space="preserve">214-946-9</w:t>
            </w:r>
          </w:p>
        </w:tc>
        <w:tc>
          <w:tcPr>
            <w:tcW w:w="2998" w:type="dxa"/>
            <w:tcBorders>
              <w:top w:val="single" w:color="c0c0c0" w:sz="2"/>
              <w:left w:val="single" w:color="c0c0c0" w:sz="4"/>
              <w:bottom w:val="single" w:color="c0c0c0" w:sz="3"/>
              <w:right w:val="single" w:color="c0c0c0" w:sz="4"/>
            </w:tcBorders>
            <w:shd w:color="000000" w:fill="ffffff" w:val="clear"/>
            <w:tcMar>
              <w:left w:w="54" w:type="dxa"/>
              <w:right w:w="54" w:type="dxa"/>
            </w:tcMar>
            <w:vAlign w:val="center"/>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Aquatic Acute 1, Aquatic Chronic 1 -</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H410</w:t>
            </w:r>
          </w:p>
        </w:tc>
        <w:tc>
          <w:tcPr>
            <w:tcW w:w="1318" w:type="dxa"/>
            <w:tcBorders>
              <w:top w:val="single" w:color="c0c0c0" w:sz="2"/>
              <w:left w:val="single" w:color="c0c0c0" w:sz="4"/>
              <w:bottom w:val="single" w:color="c0c0c0" w:sz="3"/>
              <w:right w:val="single" w:color="c0c0c0" w:sz="2"/>
            </w:tcBorders>
            <w:shd w:color="000000" w:fill="ffffff" w:val="clear"/>
            <w:tcMar>
              <w:left w:w="54" w:type="dxa"/>
              <w:right w:w="54" w:type="dxa"/>
            </w:tcMar>
            <w:vAlign w:val="center"/>
          </w:tcPr>
          <w:p>
            <w:pPr>
              <w:spacing w:before="0" w:after="0" w:line="259"/>
              <w:ind w:right="0" w:left="4"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476"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4" w:type="dxa"/>
              <w:right w:w="54"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1,3-benzodioxole-5-carbaldehyde (heliotropin)</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(No REACH : 01-2119983608-21-XXXX)</w:t>
            </w:r>
          </w:p>
        </w:tc>
        <w:tc>
          <w:tcPr>
            <w:tcW w:w="991"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2" w:firstLine="0"/>
              <w:jc w:val="center"/>
              <w:rPr>
                <w:spacing w:val="0"/>
                <w:position w:val="0"/>
                <w:shd w:fill="auto" w:val="clear"/>
              </w:rPr>
            </w:pPr>
            <w:r>
              <w:rPr>
                <w:rFonts w:ascii="Arial" w:hAnsi="Arial" w:cs="Arial" w:eastAsia="Arial"/>
                <w:color w:val="000000"/>
                <w:spacing w:val="0"/>
                <w:position w:val="0"/>
                <w:sz w:val="14"/>
                <w:shd w:fill="auto" w:val="clear"/>
              </w:rPr>
              <w:t xml:space="preserve">120-57-0</w:t>
            </w:r>
          </w:p>
        </w:tc>
        <w:tc>
          <w:tcPr>
            <w:tcW w:w="779"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204-409-7</w:t>
            </w:r>
          </w:p>
        </w:tc>
        <w:tc>
          <w:tcPr>
            <w:tcW w:w="2998"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Skin Sens. 1B - H317</w:t>
            </w:r>
          </w:p>
        </w:tc>
        <w:tc>
          <w:tcPr>
            <w:tcW w:w="1318" w:type="dxa"/>
            <w:tcBorders>
              <w:top w:val="single" w:color="c0c0c0" w:sz="2"/>
              <w:left w:val="single" w:color="c0c0c0" w:sz="4"/>
              <w:bottom w:val="single" w:color="c0c0c0" w:sz="2"/>
              <w:right w:val="single" w:color="c0c0c0" w:sz="2"/>
            </w:tcBorders>
            <w:shd w:color="000000" w:fill="ffffff" w:val="clear"/>
            <w:tcMar>
              <w:left w:w="54" w:type="dxa"/>
              <w:right w:w="54" w:type="dxa"/>
            </w:tcMar>
            <w:vAlign w:val="center"/>
          </w:tcPr>
          <w:p>
            <w:pPr>
              <w:spacing w:before="0" w:after="0" w:line="259"/>
              <w:ind w:right="0" w:left="27"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666"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4" w:type="dxa"/>
              <w:right w:w="54" w:type="dxa"/>
            </w:tcMar>
            <w:vAlign w:val="top"/>
          </w:tcPr>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1-(2,6,6-trimethyl-1-cyclohexa-1,3-dienyl)but-2en-1-one (beta-damascenone)   (No REACH :</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Exempté (&lt;1 T/an))</w:t>
            </w:r>
          </w:p>
        </w:tc>
        <w:tc>
          <w:tcPr>
            <w:tcW w:w="991"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2" w:firstLine="0"/>
              <w:jc w:val="center"/>
              <w:rPr>
                <w:spacing w:val="0"/>
                <w:position w:val="0"/>
                <w:shd w:fill="auto" w:val="clear"/>
              </w:rPr>
            </w:pPr>
            <w:r>
              <w:rPr>
                <w:rFonts w:ascii="Arial" w:hAnsi="Arial" w:cs="Arial" w:eastAsia="Arial"/>
                <w:color w:val="000000"/>
                <w:spacing w:val="0"/>
                <w:position w:val="0"/>
                <w:sz w:val="14"/>
                <w:shd w:fill="auto" w:val="clear"/>
              </w:rPr>
              <w:t xml:space="preserve">23696-85-7</w:t>
            </w:r>
          </w:p>
        </w:tc>
        <w:tc>
          <w:tcPr>
            <w:tcW w:w="779"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245-833-2</w:t>
            </w:r>
          </w:p>
        </w:tc>
        <w:tc>
          <w:tcPr>
            <w:tcW w:w="2998"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top"/>
          </w:tcPr>
          <w:p>
            <w:pPr>
              <w:spacing w:before="0" w:after="0" w:line="259"/>
              <w:ind w:right="0" w:left="2"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Eye Irrit. 2, Aquatic Chronic 2, Skin Irrit.</w:t>
            </w:r>
          </w:p>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2, Skin Sens. 1A - H315, H317, H319, H411</w:t>
            </w:r>
          </w:p>
        </w:tc>
        <w:tc>
          <w:tcPr>
            <w:tcW w:w="1318" w:type="dxa"/>
            <w:tcBorders>
              <w:top w:val="single" w:color="c0c0c0" w:sz="2"/>
              <w:left w:val="single" w:color="c0c0c0" w:sz="4"/>
              <w:bottom w:val="single" w:color="c0c0c0" w:sz="2"/>
              <w:right w:val="single" w:color="c0c0c0" w:sz="2"/>
            </w:tcBorders>
            <w:shd w:color="000000" w:fill="ffffff" w:val="clear"/>
            <w:tcMar>
              <w:left w:w="54" w:type="dxa"/>
              <w:right w:w="54" w:type="dxa"/>
            </w:tcMar>
            <w:vAlign w:val="center"/>
          </w:tcPr>
          <w:p>
            <w:pPr>
              <w:spacing w:before="0" w:after="0" w:line="259"/>
              <w:ind w:right="0" w:left="27"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664"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4" w:type="dxa"/>
              <w:right w:w="54" w:type="dxa"/>
            </w:tcMar>
            <w:vAlign w:val="top"/>
          </w:tcPr>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1-(3,5,5,6,8,8-hexamethyl-6,7-dihydronaphthale n-2-yl)ethanone (fixolide)   (No REACH :</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01-2119539433-40-0000)</w:t>
            </w:r>
          </w:p>
        </w:tc>
        <w:tc>
          <w:tcPr>
            <w:tcW w:w="991"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2" w:firstLine="0"/>
              <w:jc w:val="center"/>
              <w:rPr>
                <w:spacing w:val="0"/>
                <w:position w:val="0"/>
                <w:shd w:fill="auto" w:val="clear"/>
              </w:rPr>
            </w:pPr>
            <w:r>
              <w:rPr>
                <w:rFonts w:ascii="Arial" w:hAnsi="Arial" w:cs="Arial" w:eastAsia="Arial"/>
                <w:color w:val="000000"/>
                <w:spacing w:val="0"/>
                <w:position w:val="0"/>
                <w:sz w:val="14"/>
                <w:shd w:fill="auto" w:val="clear"/>
              </w:rPr>
              <w:t xml:space="preserve">1506-02-1</w:t>
            </w:r>
          </w:p>
        </w:tc>
        <w:tc>
          <w:tcPr>
            <w:tcW w:w="779"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216-133-4</w:t>
            </w:r>
          </w:p>
        </w:tc>
        <w:tc>
          <w:tcPr>
            <w:tcW w:w="2998"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 w:firstLine="0"/>
              <w:jc w:val="both"/>
              <w:rPr>
                <w:spacing w:val="0"/>
                <w:position w:val="0"/>
                <w:shd w:fill="auto" w:val="clear"/>
              </w:rPr>
            </w:pPr>
            <w:r>
              <w:rPr>
                <w:rFonts w:ascii="Arial" w:hAnsi="Arial" w:cs="Arial" w:eastAsia="Arial"/>
                <w:color w:val="000000"/>
                <w:spacing w:val="0"/>
                <w:position w:val="0"/>
                <w:sz w:val="16"/>
                <w:shd w:fill="auto" w:val="clear"/>
              </w:rPr>
              <w:t xml:space="preserve">Acute Tox. 4, Aquatic Acute 1, Aquatic Chronic 1 - H302, H410</w:t>
            </w:r>
          </w:p>
        </w:tc>
        <w:tc>
          <w:tcPr>
            <w:tcW w:w="1318" w:type="dxa"/>
            <w:tcBorders>
              <w:top w:val="single" w:color="c0c0c0" w:sz="2"/>
              <w:left w:val="single" w:color="c0c0c0" w:sz="4"/>
              <w:bottom w:val="single" w:color="c0c0c0" w:sz="2"/>
              <w:right w:val="single" w:color="c0c0c0" w:sz="2"/>
            </w:tcBorders>
            <w:shd w:color="000000" w:fill="ffffff" w:val="clear"/>
            <w:tcMar>
              <w:left w:w="54" w:type="dxa"/>
              <w:right w:w="54" w:type="dxa"/>
            </w:tcMar>
            <w:vAlign w:val="center"/>
          </w:tcPr>
          <w:p>
            <w:pPr>
              <w:spacing w:before="0" w:after="0" w:line="259"/>
              <w:ind w:right="0" w:left="27"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487"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4" w:type="dxa"/>
              <w:right w:w="54"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3,7-dimethylocta-1,6-dien-3-ol (linalool)   (No</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REACH : 01-2119474016-42-XXXX)</w:t>
            </w:r>
          </w:p>
        </w:tc>
        <w:tc>
          <w:tcPr>
            <w:tcW w:w="991"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2" w:firstLine="0"/>
              <w:jc w:val="center"/>
              <w:rPr>
                <w:spacing w:val="0"/>
                <w:position w:val="0"/>
                <w:shd w:fill="auto" w:val="clear"/>
              </w:rPr>
            </w:pPr>
            <w:r>
              <w:rPr>
                <w:rFonts w:ascii="Arial" w:hAnsi="Arial" w:cs="Arial" w:eastAsia="Arial"/>
                <w:color w:val="000000"/>
                <w:spacing w:val="0"/>
                <w:position w:val="0"/>
                <w:sz w:val="14"/>
                <w:shd w:fill="auto" w:val="clear"/>
              </w:rPr>
              <w:t xml:space="preserve">78-70-6</w:t>
            </w:r>
          </w:p>
        </w:tc>
        <w:tc>
          <w:tcPr>
            <w:tcW w:w="779"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201-134-4</w:t>
            </w:r>
          </w:p>
        </w:tc>
        <w:tc>
          <w:tcPr>
            <w:tcW w:w="2998"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top"/>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Skin Irrit. 2, Skin Sens. 1B H315, H317, H319</w:t>
            </w:r>
          </w:p>
        </w:tc>
        <w:tc>
          <w:tcPr>
            <w:tcW w:w="1318" w:type="dxa"/>
            <w:tcBorders>
              <w:top w:val="single" w:color="c0c0c0" w:sz="2"/>
              <w:left w:val="single" w:color="c0c0c0" w:sz="4"/>
              <w:bottom w:val="single" w:color="c0c0c0" w:sz="2"/>
              <w:right w:val="single" w:color="c0c0c0" w:sz="2"/>
            </w:tcBorders>
            <w:shd w:color="000000" w:fill="ffffff" w:val="clear"/>
            <w:tcMar>
              <w:left w:w="54" w:type="dxa"/>
              <w:right w:w="54" w:type="dxa"/>
            </w:tcMar>
            <w:vAlign w:val="center"/>
          </w:tcPr>
          <w:p>
            <w:pPr>
              <w:spacing w:before="0" w:after="0" w:line="259"/>
              <w:ind w:right="0" w:left="27"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486"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4" w:type="dxa"/>
              <w:right w:w="54" w:type="dxa"/>
            </w:tcMar>
            <w:vAlign w:val="top"/>
          </w:tcPr>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chromen-2-one (coumarin)   (No REACH : 01-2119943756-26-XXXX)</w:t>
            </w:r>
          </w:p>
        </w:tc>
        <w:tc>
          <w:tcPr>
            <w:tcW w:w="991"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2" w:firstLine="0"/>
              <w:jc w:val="center"/>
              <w:rPr>
                <w:spacing w:val="0"/>
                <w:position w:val="0"/>
                <w:shd w:fill="auto" w:val="clear"/>
              </w:rPr>
            </w:pPr>
            <w:r>
              <w:rPr>
                <w:rFonts w:ascii="Arial" w:hAnsi="Arial" w:cs="Arial" w:eastAsia="Arial"/>
                <w:color w:val="000000"/>
                <w:spacing w:val="0"/>
                <w:position w:val="0"/>
                <w:sz w:val="14"/>
                <w:shd w:fill="auto" w:val="clear"/>
              </w:rPr>
              <w:t xml:space="preserve">91-64-5</w:t>
            </w:r>
          </w:p>
        </w:tc>
        <w:tc>
          <w:tcPr>
            <w:tcW w:w="779"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202-086-7</w:t>
            </w:r>
          </w:p>
        </w:tc>
        <w:tc>
          <w:tcPr>
            <w:tcW w:w="2998"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top"/>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Acute Tox. 4, Skin Sens. 1B - H302, H317</w:t>
            </w:r>
          </w:p>
        </w:tc>
        <w:tc>
          <w:tcPr>
            <w:tcW w:w="1318" w:type="dxa"/>
            <w:tcBorders>
              <w:top w:val="single" w:color="c0c0c0" w:sz="2"/>
              <w:left w:val="single" w:color="c0c0c0" w:sz="4"/>
              <w:bottom w:val="single" w:color="c0c0c0" w:sz="2"/>
              <w:right w:val="single" w:color="c0c0c0" w:sz="2"/>
            </w:tcBorders>
            <w:shd w:color="000000" w:fill="ffffff" w:val="clear"/>
            <w:tcMar>
              <w:left w:w="54" w:type="dxa"/>
              <w:right w:w="54" w:type="dxa"/>
            </w:tcMar>
            <w:vAlign w:val="center"/>
          </w:tcPr>
          <w:p>
            <w:pPr>
              <w:spacing w:before="0" w:after="0" w:line="259"/>
              <w:ind w:right="0" w:left="27"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1015" w:hRule="auto"/>
          <w:jc w:val="left"/>
        </w:trPr>
        <w:tc>
          <w:tcPr>
            <w:tcW w:w="3510" w:type="dxa"/>
            <w:tcBorders>
              <w:top w:val="single" w:color="c0c0c0" w:sz="2"/>
              <w:left w:val="single" w:color="c0c0c0" w:sz="2"/>
              <w:bottom w:val="single" w:color="c0c0c0" w:sz="3"/>
              <w:right w:val="single" w:color="c0c0c0" w:sz="4"/>
            </w:tcBorders>
            <w:shd w:color="000000" w:fill="ffffff" w:val="clear"/>
            <w:tcMar>
              <w:left w:w="54" w:type="dxa"/>
              <w:right w:w="54"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reaction mass of 1-(1,2,3,4,5,6,7,8 and</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1-(1,2,3,4,6,7,8,8a and</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1-(1,2,3,5,6,7,8,8a-octahydro-2,3,8,8-tetrameth</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yl-2-naphthyl)ethan-1-one (iso e super)   (No</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REACH : 01-2119489989-04-XXXX)</w:t>
            </w:r>
          </w:p>
        </w:tc>
        <w:tc>
          <w:tcPr>
            <w:tcW w:w="991" w:type="dxa"/>
            <w:tcBorders>
              <w:top w:val="single" w:color="c0c0c0" w:sz="2"/>
              <w:left w:val="single" w:color="c0c0c0" w:sz="4"/>
              <w:bottom w:val="single" w:color="c0c0c0" w:sz="3"/>
              <w:right w:val="single" w:color="c0c0c0" w:sz="4"/>
            </w:tcBorders>
            <w:shd w:color="000000" w:fill="ffffff" w:val="clear"/>
            <w:tcMar>
              <w:left w:w="54" w:type="dxa"/>
              <w:right w:w="54" w:type="dxa"/>
            </w:tcMar>
            <w:vAlign w:val="center"/>
          </w:tcPr>
          <w:p>
            <w:pPr>
              <w:spacing w:before="0" w:after="0" w:line="259"/>
              <w:ind w:right="0" w:left="22" w:firstLine="0"/>
              <w:jc w:val="center"/>
              <w:rPr>
                <w:spacing w:val="0"/>
                <w:position w:val="0"/>
                <w:shd w:fill="auto" w:val="clear"/>
              </w:rPr>
            </w:pPr>
            <w:r>
              <w:rPr>
                <w:rFonts w:ascii="Arial" w:hAnsi="Arial" w:cs="Arial" w:eastAsia="Arial"/>
                <w:color w:val="000000"/>
                <w:spacing w:val="0"/>
                <w:position w:val="0"/>
                <w:sz w:val="14"/>
                <w:shd w:fill="auto" w:val="clear"/>
              </w:rPr>
              <w:t xml:space="preserve">54464-57-2</w:t>
            </w:r>
          </w:p>
        </w:tc>
        <w:tc>
          <w:tcPr>
            <w:tcW w:w="779" w:type="dxa"/>
            <w:tcBorders>
              <w:top w:val="single" w:color="c0c0c0" w:sz="2"/>
              <w:left w:val="single" w:color="c0c0c0" w:sz="4"/>
              <w:bottom w:val="single" w:color="c0c0c0" w:sz="3"/>
              <w:right w:val="single" w:color="c0c0c0" w:sz="4"/>
            </w:tcBorders>
            <w:shd w:color="000000" w:fill="ffffff" w:val="clear"/>
            <w:tcMar>
              <w:left w:w="54" w:type="dxa"/>
              <w:right w:w="54"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915-730-3</w:t>
            </w:r>
          </w:p>
        </w:tc>
        <w:tc>
          <w:tcPr>
            <w:tcW w:w="2998" w:type="dxa"/>
            <w:tcBorders>
              <w:top w:val="single" w:color="c0c0c0" w:sz="2"/>
              <w:left w:val="single" w:color="c0c0c0" w:sz="4"/>
              <w:bottom w:val="single" w:color="c0c0c0" w:sz="3"/>
              <w:right w:val="single" w:color="c0c0c0" w:sz="4"/>
            </w:tcBorders>
            <w:shd w:color="000000" w:fill="ffffff" w:val="clear"/>
            <w:tcMar>
              <w:left w:w="54" w:type="dxa"/>
              <w:right w:w="54" w:type="dxa"/>
            </w:tcMar>
            <w:vAlign w:val="center"/>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Aquatic Chronic 1, Skin Sens. 1B - H317, H319, H410</w:t>
            </w:r>
          </w:p>
        </w:tc>
        <w:tc>
          <w:tcPr>
            <w:tcW w:w="1318" w:type="dxa"/>
            <w:tcBorders>
              <w:top w:val="single" w:color="c0c0c0" w:sz="2"/>
              <w:left w:val="single" w:color="c0c0c0" w:sz="4"/>
              <w:bottom w:val="single" w:color="c0c0c0" w:sz="3"/>
              <w:right w:val="single" w:color="c0c0c0" w:sz="2"/>
            </w:tcBorders>
            <w:shd w:color="000000" w:fill="ffffff" w:val="clear"/>
            <w:tcMar>
              <w:left w:w="54" w:type="dxa"/>
              <w:right w:w="54" w:type="dxa"/>
            </w:tcMar>
            <w:vAlign w:val="center"/>
          </w:tcPr>
          <w:p>
            <w:pPr>
              <w:spacing w:before="0" w:after="0" w:line="259"/>
              <w:ind w:right="0" w:left="27"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bl>
    <w:p>
      <w:pPr>
        <w:spacing w:before="0" w:after="957"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COMPOSITION : Mélange de matiéres premières aromatiques.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4: PREMIERS SECOURS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 Description des mesures de premiers secours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4.1.1. Informations générales:</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Retirer immédiatement les vêtements contaminés. En cas d'accident ou de malaise, consulter immédiatement un médecin (si possible lui montrer les instructions d'emploi ou la fiche de données de sécurité).</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4.1.2. Après inhalation:</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Transporter la victime hors de la zone contaminée et la garder au repos.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4.1.3. Après contact avec la peau:</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Laver immédiatement à l'eau et au savon. En cas d'irritation de la peau, consulter un médecin.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4.1.4. Après contact avec les yeux:</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Après contact avec les yeux, laver à l'eau en maintenant les paupières ouvertes pour une durée suffisamment longue, puis consulter immédiatement un ophtalmologiste.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4.1.5. Après ingestion:</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cas d'ingestion accidentelle, rincer abondamment la bouche avec de l'eau (seulement si la personne est consciente) et consulter immédiatement un médecin.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4.1.6. Autoprotection du secouriste:</w:t>
      </w:r>
    </w:p>
    <w:p>
      <w:pPr>
        <w:spacing w:before="0" w:after="91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Secouriste: faire attention à se protéger!</w:t>
      </w:r>
    </w:p>
    <w:p>
      <w:pPr>
        <w:spacing w:before="0" w:after="3" w:line="427"/>
        <w:ind w:right="3754"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4.2. Principaux symptômes et effets, aigus et différés Tenir compte des phrases de risques et de sécurité.</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4.3. Indication des éventuels soins médicaux immédiats et traitements particuliers nécessaires</w:t>
      </w:r>
    </w:p>
    <w:p>
      <w:pPr>
        <w:spacing w:before="0" w:after="766" w:line="265"/>
        <w:ind w:right="235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Traitement spécifique: premier secours, traitement des symptômes. Commentaires pour le médecin: traiter symptômatiquement.</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5: MESURES DE LUTTE CONTRE L'INCENDIE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5.1. Moyens d’extinction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Moyens d'extinction appropriés: dioxyde de carbone (CO2), mousse, eau pulvérisée, poudre d'extinction sèche.</w:t>
      </w:r>
    </w:p>
    <w:p>
      <w:pPr>
        <w:spacing w:before="0" w:after="897"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Méthodes d'extinction inappropriées: jet d'eau puissant.</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5.2. Dangers particuliers résultant de la substance ou du mélange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Classe d'inflammabilité : le produit n'est pas inflammable.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Refroidir à l'eau pulvérisée les récipients menacés. En cas d'incendie, des gaz nocifs peuvent se former. Ne pas les inhaler.</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Prévention : ne pas fumer. Pas de flamme nue.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Produits de combustion dangereux: les produits de décomposition peuvent éventuellement comprendre les substances suivantes: </w:t>
      </w:r>
    </w:p>
    <w:p>
      <w:pPr>
        <w:numPr>
          <w:ilvl w:val="0"/>
          <w:numId w:val="128"/>
        </w:numPr>
        <w:spacing w:before="0" w:after="3" w:line="265"/>
        <w:ind w:right="67" w:left="122" w:hanging="122"/>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dioxyde de carbone                                                                                                             </w:t>
      </w:r>
    </w:p>
    <w:p>
      <w:pPr>
        <w:numPr>
          <w:ilvl w:val="0"/>
          <w:numId w:val="128"/>
        </w:numPr>
        <w:spacing w:before="0" w:after="3" w:line="265"/>
        <w:ind w:right="67" w:left="122" w:hanging="122"/>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monoxyde de carbone.</w:t>
      </w:r>
    </w:p>
    <w:p>
      <w:pPr>
        <w:spacing w:before="0" w:after="920"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L'eau d'extinction contaminée doit être collectée à part. Ne pas jeter dans les égouts ou les eaux de surface.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5.3. Conseils aux pompiers</w:t>
      </w:r>
    </w:p>
    <w:p>
      <w:pPr>
        <w:spacing w:before="0" w:after="788"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Équipement spécial de protection pour les pompiers: porter un appareil respiratoire autonome et des vêtements de protection contre les produits chimiques.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6: MESURES A PRENDRE EN CAS DE DISPERSION ACCIDENTELLE</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 Précautions individuelles, équipement de protection et procédures d’urgence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6.1.1. Pour les non-secouristes:</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Utiliser un équipement de protection individuel, voir rubrique 8.</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6.1.2. Pour les intervenants d'urgence:</w:t>
      </w:r>
    </w:p>
    <w:p>
      <w:pPr>
        <w:spacing w:before="0" w:after="912"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Mettre les personnes en sécurité. Isoler la zone de danger et empêcher l'accès. Aérer les espaces fermés avant d'entrer. Utiliser un équipement de protection individuel, voir section 8.</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6.2. Précautions pour la protection de l’environnement</w:t>
      </w:r>
    </w:p>
    <w:p>
      <w:pPr>
        <w:spacing w:before="0" w:after="1100"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Assurez-vous que les déversements peuvent être contenus, par exemple dans des puisards palette ou des zones de rétention. Ne pas laisser pénétrer dans les eaux de surface ou les égouts.</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 Méthodes et matériel de confinement et de nettoyage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Enlever avec un absorbant inerte (par exemple sable, gel de silice, agglomérant pour acide, agglomérant universel, sciure).</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Eliminer comme déchet spécial conformément aux réglementations locales et nationales. </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6.3.1. Pour le confinement:</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Recueillir dans des récipients fermés et appropriés pour l'élimination.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6.3.2. Pour le nettoyage:</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Nettoyer les objets et zones contaminés en observant soigneusement les réglementations environnementales.</w:t>
      </w:r>
    </w:p>
    <w:p>
      <w:pPr>
        <w:spacing w:before="0" w:after="922" w:line="265"/>
        <w:ind w:right="676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6.3.3. Autre information: Aucune.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6.4. Référence à d’autres rubriques</w:t>
      </w:r>
    </w:p>
    <w:p>
      <w:pPr>
        <w:spacing w:before="0" w:after="784"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Equipement de protection individuelle: voir la rubrique 8.</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7: MANIPULATION ET STOCKAGE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7.1. Précautions à prendre pour une manipulation sans danger</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 protection:</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Utiliser uniquement dans des zones bien ventilées. Manipuler et ouvrir le récipient avec soin. Toujours fermer hermétiquement les récipients après l'élimination du produit. Porter des vêtements de protection individuelle (voir rubrique 8).</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destinées à empêcher la production de particules en suspension et de poussières:</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Pendant le remplissage, la mesure et l'échantillonnage devrait être utilisé si possible: un revêtement de sol résistant aux éclaboussures. Utiliser uniquement des lignes de remplissage semi-automatiques et majoritairement fermées.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 protection de l'environnement:</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puits et les égouts doivent être protégés contre la pénétration du produit. Voir la rubrique 8.</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Conseils d'ordre général en matière d'hygiène au travail:</w:t>
      </w:r>
    </w:p>
    <w:p>
      <w:pPr>
        <w:spacing w:before="0" w:after="882"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7.2.  Conditions d’un stockage sûr, y compris les éventuelles incompatibilités</w:t>
      </w:r>
    </w:p>
    <w:p>
      <w:pPr>
        <w:spacing w:before="0" w:after="193" w:line="265"/>
        <w:ind w:right="4559"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techniques et conditions de stockage: Conserver à la température ambiante.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Exigences concernant les lieux et conteneurs de stockage: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Conserver/stocker uniquement dans le récipient d'origine. Prévoir des zones de rétention, par exemple un plancher sans écoulement.</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sol doit être étanche, sans joints et non absorbant. Assurer une ventilation adéquate de la zone de stockage.</w:t>
      </w:r>
    </w:p>
    <w:p>
      <w:pPr>
        <w:spacing w:before="0" w:after="922" w:line="265"/>
        <w:ind w:right="365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Information supplémentaire sur les conditions de stockage: Protéger les récipients contre les dommages.</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7.3. Utilisation(s) finale(s) particulière(s)</w:t>
      </w:r>
    </w:p>
    <w:p>
      <w:pPr>
        <w:spacing w:before="0" w:after="76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Recommandations: respecter les instructions d'utilisation.</w:t>
      </w:r>
    </w:p>
    <w:p>
      <w:pPr>
        <w:keepNext w:val="true"/>
        <w:keepLines w:val="true"/>
        <w:spacing w:before="0" w:after="12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8: CONTROLES DE L'EXPOSITION/PROTECTION INDIVIDUELLE</w:t>
      </w:r>
    </w:p>
    <w:p>
      <w:pPr>
        <w:spacing w:before="0" w:after="715"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Des examens de médecine préventive du travail sont à effectuer.</w:t>
      </w:r>
    </w:p>
    <w:p>
      <w:pPr>
        <w:spacing w:before="0" w:after="542" w:line="427"/>
        <w:ind w:right="6080"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8.1. Paramètres de contrôle Pas de données à ce jour.</w:t>
      </w:r>
    </w:p>
    <w:p>
      <w:pPr>
        <w:spacing w:before="0" w:after="139"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8.2. Contrôles de l’exposition</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8.2.1. Contrôles techniques appropriés:</w:t>
      </w:r>
    </w:p>
    <w:p>
      <w:pPr>
        <w:spacing w:before="0" w:after="174"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Eviter le contact avec les yeux, la peau ou les vêtements. Ne pas ingérer. Eviter le contact avec les aliments et les boissons.</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8.2.2. Mesures de protection individuelle:</w:t>
      </w:r>
    </w:p>
    <w:p>
      <w:pPr>
        <w:tabs>
          <w:tab w:val="center" w:pos="3083" w:leader="none"/>
        </w:tabs>
        <w:spacing w:before="0" w:after="3"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des mains :</w:t>
        <w:tab/>
        <w:t xml:space="preserve">protection non requise.</w:t>
      </w:r>
    </w:p>
    <w:p>
      <w:pPr>
        <w:tabs>
          <w:tab w:val="center" w:pos="3083" w:leader="none"/>
        </w:tabs>
        <w:spacing w:before="0" w:after="3"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des yeux : </w:t>
        <w:tab/>
        <w:t xml:space="preserve">protection non requise.</w:t>
      </w:r>
    </w:p>
    <w:p>
      <w:pPr>
        <w:tabs>
          <w:tab w:val="center" w:pos="5144" w:leader="none"/>
        </w:tabs>
        <w:spacing w:before="0" w:after="3"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respiratoire :</w:t>
        <w:tab/>
        <w:t xml:space="preserve">en cas de ventilation insuffisante, porter un appareil respiratoire approprié.</w:t>
      </w:r>
    </w:p>
    <w:p>
      <w:pPr>
        <w:spacing w:before="0" w:after="174" w:line="265"/>
        <w:ind w:right="2598"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Ingestion : ne pas  manger, ne pas boire et ne pas fumer pendant l'utilisation. Respecter les consignes indiquées au § 2.2.</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8.2.3. Contrôle d'exposition lié à la protection de l'environnement:</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Il importe de tester les émissions provenant des systèmes d'aération et du matériel de fabrication pour s'assurer qu'elles sont conformes aux exigences de la législation sur la protection de l'environnement. </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visant à prévenir l'exposition liée à la substance/au mélange: pas de mesures spécifiques.</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d'instruction visant à prévenir l'exposition: pas de mesures spécifiques.</w:t>
      </w:r>
    </w:p>
    <w:p>
      <w:pPr>
        <w:spacing w:before="0" w:after="1976" w:line="265"/>
        <w:ind w:right="2006"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organisationnelles visant à prévenir l'exposition: pas de mesures spécifiques. Mesures techniques visant à prévenir l'exposition: pas de mesures spécifiques.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9: PROPRIETES PHYSIQUES ET CHIMIQUES</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9.1. Informations sur les propriétés physiques et chimiques essentielles</w:t>
      </w:r>
    </w:p>
    <w:tbl>
      <w:tblPr/>
      <w:tblGrid>
        <w:gridCol w:w="3096"/>
        <w:gridCol w:w="2314"/>
      </w:tblGrid>
      <w:tr>
        <w:trPr>
          <w:trHeight w:val="613"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9"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Etat physique (@20°C-1 atm.)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Couleur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Solide</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Odeur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Caractéristique</w:t>
            </w:r>
          </w:p>
        </w:tc>
      </w:tr>
      <w:tr>
        <w:trPr>
          <w:trHeight w:val="55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Point de fusion/point de congélation (@1 atm.)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w:t>
            </w:r>
          </w:p>
        </w:tc>
      </w:tr>
      <w:tr>
        <w:trPr>
          <w:trHeight w:val="67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Point d’ébullition (@1 atm.)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Inflammabilité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w:t>
            </w:r>
          </w:p>
        </w:tc>
      </w:tr>
      <w:tr>
        <w:trPr>
          <w:trHeight w:val="552"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Limites inférieure et supérieure d’explosion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déterminées</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Point d’éclair (°C)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&gt;100°</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Température d'auto-inflammation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669"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Température de décomposition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pH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w:t>
            </w:r>
          </w:p>
        </w:tc>
      </w:tr>
      <w:tr>
        <w:trPr>
          <w:trHeight w:val="67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9"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Viscosité cinématique (mm²/s)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Solubilité (@20°C)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55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Coefficient de partage n-octanol/eau (valeur log)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both"/>
              <w:rPr>
                <w:spacing w:val="0"/>
                <w:position w:val="0"/>
                <w:shd w:fill="auto" w:val="clear"/>
              </w:rPr>
            </w:pPr>
            <w:r>
              <w:rPr>
                <w:rFonts w:ascii="Tahoma" w:hAnsi="Tahoma" w:cs="Tahoma" w:eastAsia="Tahoma"/>
                <w:b/>
                <w:color w:val="000000"/>
                <w:spacing w:val="0"/>
                <w:position w:val="0"/>
                <w:sz w:val="18"/>
                <w:shd w:fill="auto" w:val="clear"/>
              </w:rPr>
              <w:t xml:space="preserve">non applicable (mélange)</w:t>
            </w:r>
          </w:p>
        </w:tc>
      </w:tr>
      <w:tr>
        <w:trPr>
          <w:trHeight w:val="886"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Pression de vapeur (mmHg @20°C)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Densité et/ou densité relative (@20° C-1 atm.)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336"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Densité de vapeur relative (@20°C)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276"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Caractéristiques des particules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 (liquide)</w:t>
            </w:r>
          </w:p>
        </w:tc>
      </w:tr>
    </w:tbl>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9.2. Autres informations</w:t>
      </w:r>
    </w:p>
    <w:p>
      <w:pPr>
        <w:spacing w:before="0" w:after="108" w:line="248"/>
        <w:ind w:right="16"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Indice de réfraction (@20°C) :</w:t>
      </w:r>
    </w:p>
    <w:p>
      <w:pPr>
        <w:spacing w:before="0" w:after="171" w:line="244"/>
        <w:ind w:right="0" w:left="3096" w:hanging="3096"/>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Conditions de stockage :</w:t>
        <w:tab/>
      </w:r>
      <w:r>
        <w:rPr>
          <w:rFonts w:ascii="Tahoma" w:hAnsi="Tahoma" w:cs="Tahoma" w:eastAsia="Tahoma"/>
          <w:b/>
          <w:color w:val="000000"/>
          <w:spacing w:val="0"/>
          <w:position w:val="0"/>
          <w:sz w:val="18"/>
          <w:shd w:fill="auto" w:val="clear"/>
        </w:rPr>
        <w:t xml:space="preserve">24 mois à faible température entre 15°C et 20°C dans un récipient fermé hermétiquement et à l'abri de la lumière.</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10: STABILITE ET REACTIVITE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10.1. Réactivité</w:t>
      </w:r>
    </w:p>
    <w:p>
      <w:pPr>
        <w:spacing w:before="0" w:after="676"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donnée d'essai spécifique disponible relative à la réactivité de ce produit ou de ses ingrédients.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10.2. Stabilité chimique</w:t>
      </w:r>
    </w:p>
    <w:p>
      <w:pPr>
        <w:spacing w:before="0" w:after="701"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 substance est chimiquement stable dans les conditions recommandées de stockage, d'utilisation et de température.</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10.3. Possibilité de réactions dangereuses</w:t>
      </w:r>
    </w:p>
    <w:p>
      <w:pPr>
        <w:spacing w:before="0" w:after="680" w:line="265"/>
        <w:ind w:right="939"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réaction dangereuse lorsqu'il est manipulé et stocké conformément aux dispositions. Eviter le contact avec les acides, les bases et les agents oxydants.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10.4. Conditions à éviter</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Eviter les températures au-dessus ou au moins 5°C en-dessous du point d'éclair pour tout liquide inflammable.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 pas chauffer les récipients fermés.</w:t>
      </w:r>
    </w:p>
    <w:p>
      <w:pPr>
        <w:spacing w:before="0" w:after="701" w:line="265"/>
        <w:ind w:right="506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Eviter le contact avec des agents oxydants. Sources directes de chaleur.</w:t>
      </w:r>
    </w:p>
    <w:p>
      <w:pPr>
        <w:spacing w:before="0" w:after="545" w:line="425"/>
        <w:ind w:right="5753"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10.5. Matières incompatibles Acides - Bases - Agents oxydants.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10.6. Produits de décomposition dangereux</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Décomposition thermique / conditions à éviter : </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Pas de décomposition en cas d'usage conforme.</w:t>
      </w:r>
    </w:p>
    <w:p>
      <w:pPr>
        <w:spacing w:before="0" w:after="567" w:line="265"/>
        <w:ind w:right="112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Produits de décomposition dangereux : pas de produits de décomposition dangereux connus. Ne se décompose pas lorsqu'il est utilisé pour les utilisations prévues.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11: INFORMATIONS TOXICOLOGIQUES</w:t>
      </w:r>
    </w:p>
    <w:p>
      <w:pPr>
        <w:spacing w:before="0" w:after="3"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11.1. Informations sur les classes de danger telles que définies dans le règlement (CE) nº 1272/2008</w:t>
      </w:r>
    </w:p>
    <w:p>
      <w:pPr>
        <w:numPr>
          <w:ilvl w:val="0"/>
          <w:numId w:val="242"/>
        </w:numPr>
        <w:spacing w:before="0" w:after="3" w:line="265"/>
        <w:ind w:right="5644"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aiguë</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ETAmélange (oral) = Non déterminée (mg/kg)</w:t>
      </w:r>
    </w:p>
    <w:p>
      <w:pPr>
        <w:spacing w:before="0" w:after="193" w:line="265"/>
        <w:ind w:right="390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ETAmélange (dermique) = Non déterminée (mg/kg) ETAmélange (inhal.) = Non déterminée (mg/l/4 h)</w:t>
      </w:r>
    </w:p>
    <w:p>
      <w:pPr>
        <w:numPr>
          <w:ilvl w:val="0"/>
          <w:numId w:val="245"/>
        </w:numPr>
        <w:spacing w:before="0" w:after="193" w:line="265"/>
        <w:ind w:right="5644"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corrosion cutanée/irritation cutanéevoir section 2</w:t>
      </w:r>
    </w:p>
    <w:p>
      <w:pPr>
        <w:numPr>
          <w:ilvl w:val="0"/>
          <w:numId w:val="245"/>
        </w:numPr>
        <w:spacing w:before="0" w:after="193" w:line="265"/>
        <w:ind w:right="5644"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lésions oculaires graves/irritation oculairevoir section 2</w:t>
      </w:r>
    </w:p>
    <w:p>
      <w:pPr>
        <w:numPr>
          <w:ilvl w:val="0"/>
          <w:numId w:val="245"/>
        </w:numPr>
        <w:spacing w:before="0" w:after="193" w:line="265"/>
        <w:ind w:right="5644"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sensibilisation respiratoire ou cutanéevoir section 2</w:t>
      </w:r>
    </w:p>
    <w:p>
      <w:pPr>
        <w:numPr>
          <w:ilvl w:val="0"/>
          <w:numId w:val="245"/>
        </w:numPr>
        <w:spacing w:before="0" w:after="193" w:line="265"/>
        <w:ind w:right="5644"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mutagénicité sur les cellules germinalesvoir section 2</w:t>
      </w:r>
    </w:p>
    <w:p>
      <w:pPr>
        <w:numPr>
          <w:ilvl w:val="0"/>
          <w:numId w:val="245"/>
        </w:numPr>
        <w:spacing w:before="0" w:after="193" w:line="265"/>
        <w:ind w:right="5644"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cancérogénicitévoir section 2</w:t>
      </w:r>
    </w:p>
    <w:p>
      <w:pPr>
        <w:numPr>
          <w:ilvl w:val="0"/>
          <w:numId w:val="245"/>
        </w:numPr>
        <w:spacing w:before="0" w:after="193" w:line="265"/>
        <w:ind w:right="5644"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pour la reproductionvoir section 2</w:t>
      </w:r>
    </w:p>
    <w:p>
      <w:pPr>
        <w:numPr>
          <w:ilvl w:val="0"/>
          <w:numId w:val="245"/>
        </w:numPr>
        <w:spacing w:before="0" w:after="193" w:line="265"/>
        <w:ind w:right="5644"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spécifique pour certains organes cibles (STOT) - exposition uniquevoir section 2</w:t>
      </w:r>
    </w:p>
    <w:p>
      <w:pPr>
        <w:numPr>
          <w:ilvl w:val="0"/>
          <w:numId w:val="245"/>
        </w:numPr>
        <w:spacing w:before="0" w:after="193" w:line="265"/>
        <w:ind w:right="5644"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spécifique pour certains organes cibles (STOT) - exposition répétéevoir section 2</w:t>
      </w:r>
    </w:p>
    <w:p>
      <w:pPr>
        <w:numPr>
          <w:ilvl w:val="0"/>
          <w:numId w:val="245"/>
        </w:numPr>
        <w:spacing w:before="0" w:after="1124" w:line="265"/>
        <w:ind w:right="5644"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danger par aspirationvoir section 2</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11.2.  Informations sur les autres dangers</w:t>
      </w:r>
    </w:p>
    <w:p>
      <w:pPr>
        <w:numPr>
          <w:ilvl w:val="0"/>
          <w:numId w:val="248"/>
        </w:numPr>
        <w:spacing w:before="0" w:after="193" w:line="265"/>
        <w:ind w:right="5742" w:left="73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Propriétés perturbant le système endocrinien: pas de données à ce jour.</w:t>
      </w:r>
    </w:p>
    <w:p>
      <w:pPr>
        <w:numPr>
          <w:ilvl w:val="0"/>
          <w:numId w:val="248"/>
        </w:numPr>
        <w:spacing w:before="0" w:after="730" w:line="265"/>
        <w:ind w:right="5742" w:left="73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Autres informations: pas de données à ce jour.</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12: INFORMATIONS ECOLOGIQUES</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12.1. Toxicité</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 pas laisser le produit, non dilué ou en grande quantité, pénétrer la nappe phréatique, les eaux superficielles ou les égouts.</w:t>
      </w:r>
    </w:p>
    <w:p>
      <w:pPr>
        <w:spacing w:before="0" w:after="3" w:line="265"/>
        <w:ind w:right="0" w:left="747" w:hanging="10"/>
        <w:jc w:val="both"/>
        <w:rPr>
          <w:rFonts w:ascii="Arial" w:hAnsi="Arial" w:cs="Arial" w:eastAsia="Arial"/>
          <w:color w:val="000000"/>
          <w:spacing w:val="0"/>
          <w:position w:val="0"/>
          <w:sz w:val="20"/>
          <w:shd w:fill="auto" w:val="clear"/>
        </w:rPr>
      </w:pPr>
    </w:p>
    <w:tbl>
      <w:tblPr/>
      <w:tblGrid>
        <w:gridCol w:w="6615"/>
        <w:gridCol w:w="3025"/>
      </w:tblGrid>
      <w:tr>
        <w:trPr>
          <w:trHeight w:val="524" w:hRule="auto"/>
          <w:jc w:val="left"/>
        </w:trPr>
        <w:tc>
          <w:tcPr>
            <w:tcW w:w="9640" w:type="dxa"/>
            <w:gridSpan w:val="2"/>
            <w:tcBorders>
              <w:top w:val="single" w:color="7f7f7f" w:sz="2"/>
              <w:left w:val="single" w:color="7f7f7f" w:sz="2"/>
              <w:bottom w:val="single" w:color="7f7f7f" w:sz="2"/>
              <w:right w:val="single" w:color="7f7f7f" w:sz="2"/>
            </w:tcBorders>
            <w:shd w:color="auto" w:fill="e0e0e0" w:val="clear"/>
            <w:tcMar>
              <w:left w:w="26" w:type="dxa"/>
              <w:right w:w="26" w:type="dxa"/>
            </w:tcMar>
            <w:vAlign w:val="top"/>
          </w:tcPr>
          <w:p>
            <w:pPr>
              <w:spacing w:before="0" w:after="0" w:line="259"/>
              <w:ind w:right="0" w:left="56" w:firstLine="0"/>
              <w:jc w:val="center"/>
              <w:rPr>
                <w:spacing w:val="0"/>
                <w:position w:val="0"/>
                <w:shd w:fill="auto" w:val="clear"/>
              </w:rPr>
            </w:pPr>
            <w:r>
              <w:rPr>
                <w:rFonts w:ascii="Arial" w:hAnsi="Arial" w:cs="Arial" w:eastAsia="Arial"/>
                <w:b/>
                <w:color w:val="000000"/>
                <w:spacing w:val="0"/>
                <w:position w:val="0"/>
                <w:sz w:val="36"/>
                <w:shd w:fill="auto" w:val="clear"/>
              </w:rPr>
              <w:t xml:space="preserve">Fiche de données de sécurité</w:t>
            </w:r>
          </w:p>
        </w:tc>
      </w:tr>
      <w:tr>
        <w:trPr>
          <w:trHeight w:val="8620" w:hRule="auto"/>
          <w:jc w:val="left"/>
        </w:trPr>
        <w:tc>
          <w:tcPr>
            <w:tcW w:w="6615" w:type="dxa"/>
            <w:tcBorders>
              <w:top w:val="single" w:color="7f7f7f" w:sz="2"/>
              <w:left w:val="single" w:color="000000" w:sz="0"/>
              <w:bottom w:val="single" w:color="7f7f7f" w:sz="2"/>
              <w:right w:val="single" w:color="000000" w:sz="0"/>
            </w:tcBorders>
            <w:shd w:color="000000" w:fill="ffffff" w:val="clear"/>
            <w:tcMar>
              <w:left w:w="26" w:type="dxa"/>
              <w:right w:w="26" w:type="dxa"/>
            </w:tcMar>
            <w:vAlign w:val="top"/>
          </w:tcPr>
          <w:p>
            <w:pPr>
              <w:tabs>
                <w:tab w:val="center" w:pos="1834" w:leader="none"/>
                <w:tab w:val="center" w:pos="4202" w:leader="none"/>
              </w:tabs>
              <w:spacing w:before="0" w:after="214"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Édité le :</w:t>
              <w:tab/>
              <w:t xml:space="preserve">07/06/2022</w:t>
              <w:tab/>
              <w:t xml:space="preserve">Lola  Lolita 7%</w:t>
            </w:r>
          </w:p>
          <w:p>
            <w:pPr>
              <w:spacing w:before="0" w:after="545" w:line="425"/>
              <w:ind w:right="2478" w:left="56" w:firstLine="737"/>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12.2. Persistance et dégradabilité Pas de données à ce jour.</w:t>
            </w:r>
          </w:p>
          <w:p>
            <w:pPr>
              <w:spacing w:before="0" w:after="542" w:line="427"/>
              <w:ind w:right="2389" w:left="56" w:firstLine="737"/>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12.3. Potentiel de bioaccumulation Pas de données à ce jour.</w:t>
            </w:r>
          </w:p>
          <w:p>
            <w:pPr>
              <w:spacing w:before="0" w:after="545" w:line="425"/>
              <w:ind w:right="3243" w:left="56" w:firstLine="737"/>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12.4. Mobilité dans le sol Pas de données à ce jour.</w:t>
            </w:r>
          </w:p>
          <w:p>
            <w:pPr>
              <w:spacing w:before="0" w:after="542" w:line="427"/>
              <w:ind w:right="1486" w:left="56" w:firstLine="737"/>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12.5. Résultats des évaluations PBT et vPvB Pas de données à ce jour.</w:t>
            </w:r>
          </w:p>
          <w:p>
            <w:pPr>
              <w:spacing w:before="0" w:after="542" w:line="427"/>
              <w:ind w:right="973" w:left="56" w:firstLine="737"/>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12.6. Propriétés perturbant le système endocrinien Pas de données à ce jour.</w:t>
            </w:r>
          </w:p>
          <w:p>
            <w:pPr>
              <w:spacing w:before="0" w:after="0" w:line="259"/>
              <w:ind w:right="3012" w:left="56" w:firstLine="737"/>
              <w:jc w:val="left"/>
              <w:rPr>
                <w:spacing w:val="0"/>
                <w:position w:val="0"/>
                <w:shd w:fill="auto" w:val="clear"/>
              </w:rPr>
            </w:pPr>
            <w:r>
              <w:rPr>
                <w:rFonts w:ascii="Arial" w:hAnsi="Arial" w:cs="Arial" w:eastAsia="Arial"/>
                <w:color w:val="000000"/>
                <w:spacing w:val="0"/>
                <w:position w:val="0"/>
                <w:sz w:val="20"/>
                <w:shd w:fill="auto" w:val="clear"/>
              </w:rPr>
              <w:t xml:space="preserve">12.7. Autres effets néfastes Pas de données à ce jour.</w:t>
            </w:r>
          </w:p>
        </w:tc>
        <w:tc>
          <w:tcPr>
            <w:tcW w:w="3025" w:type="dxa"/>
            <w:tcBorders>
              <w:top w:val="single" w:color="7f7f7f" w:sz="2"/>
              <w:left w:val="single" w:color="000000" w:sz="0"/>
              <w:bottom w:val="single" w:color="7f7f7f" w:sz="2"/>
              <w:right w:val="single" w:color="000000" w:sz="0"/>
            </w:tcBorders>
            <w:shd w:color="000000" w:fill="ffffff" w:val="clear"/>
            <w:tcMar>
              <w:left w:w="26" w:type="dxa"/>
              <w:right w:w="26" w:type="dxa"/>
            </w:tcMar>
            <w:vAlign w:val="top"/>
          </w:tcPr>
          <w:p>
            <w:pPr>
              <w:spacing w:before="0" w:after="0" w:line="259"/>
              <w:ind w:right="0" w:left="0" w:firstLine="0"/>
              <w:jc w:val="both"/>
              <w:rPr>
                <w:spacing w:val="0"/>
                <w:position w:val="0"/>
                <w:shd w:fill="auto" w:val="clear"/>
              </w:rPr>
            </w:pPr>
            <w:r>
              <w:rPr>
                <w:rFonts w:ascii="Arial" w:hAnsi="Arial" w:cs="Arial" w:eastAsia="Arial"/>
                <w:color w:val="000000"/>
                <w:spacing w:val="0"/>
                <w:position w:val="0"/>
                <w:sz w:val="16"/>
                <w:shd w:fill="auto" w:val="clear"/>
              </w:rPr>
              <w:t xml:space="preserve">Révision : 001NEW-1-CLP du 07/06/2022</w:t>
            </w:r>
          </w:p>
        </w:tc>
      </w:tr>
      <w:tr>
        <w:trPr>
          <w:trHeight w:val="356" w:hRule="auto"/>
          <w:jc w:val="left"/>
        </w:trPr>
        <w:tc>
          <w:tcPr>
            <w:tcW w:w="6615" w:type="dxa"/>
            <w:tcBorders>
              <w:top w:val="single" w:color="7f7f7f" w:sz="2"/>
              <w:left w:val="single" w:color="7f7f7f" w:sz="2"/>
              <w:bottom w:val="single" w:color="7f7f7f" w:sz="2"/>
              <w:right w:val="single" w:color="000000" w:sz="0"/>
            </w:tcBorders>
            <w:shd w:color="auto" w:fill="e0e0e0" w:val="clear"/>
            <w:tcMar>
              <w:left w:w="26" w:type="dxa"/>
              <w:right w:w="26" w:type="dxa"/>
            </w:tcMar>
            <w:vAlign w:val="top"/>
          </w:tcPr>
          <w:p>
            <w:pPr>
              <w:spacing w:before="0" w:after="0" w:line="259"/>
              <w:ind w:right="0" w:left="56"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13: CONSIDERATIONS RELATIVES A L'ELIMINATION</w:t>
            </w:r>
          </w:p>
        </w:tc>
        <w:tc>
          <w:tcPr>
            <w:tcW w:w="3025" w:type="dxa"/>
            <w:tcBorders>
              <w:top w:val="single" w:color="7f7f7f" w:sz="2"/>
              <w:left w:val="single" w:color="000000" w:sz="0"/>
              <w:bottom w:val="single" w:color="7f7f7f" w:sz="2"/>
              <w:right w:val="single" w:color="7f7f7f" w:sz="2"/>
            </w:tcBorders>
            <w:shd w:color="auto" w:fill="e0e0e0" w:val="clear"/>
            <w:tcMar>
              <w:left w:w="26" w:type="dxa"/>
              <w:right w:w="26"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bl>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 Méthodes de traitement des déchets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13.1.1 Disposition relative au produit/à l'emballage: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Liste des codes/désignations de déchets proposés conformément au CED.</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déchets doivent être éliminés conformément à la réglementation locale. Les codes de déchet doivent être attribués par l'utilisateur, de préférence en concertation avec les autorités d'élimination des déchets.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13.1.2 Traitement des déchets - information pertinente:</w:t>
      </w:r>
    </w:p>
    <w:p>
      <w:pPr>
        <w:spacing w:before="0" w:after="193" w:line="265"/>
        <w:ind w:right="32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Ils peuvent être incinérés avec les ordures ménagères en conformité avec les règlements techniques applicables après consultation des sociétés de gestion d'élimination des déchets agréées et des autorités en charge.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13.1.3 Evacuation des eaux usées - information pertinente:</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rejet dans l'environnement ou le réseau d'égouts est interdit. Elles doivent être traitées comme des déchets dangereux.</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13.1.4 Autres recommandations d'élimination:</w:t>
      </w:r>
    </w:p>
    <w:p>
      <w:pPr>
        <w:spacing w:before="0" w:after="556"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Manipuler les emballages contaminés de la même manière que la substance elle-même.</w:t>
      </w:r>
    </w:p>
    <w:p>
      <w:pPr>
        <w:keepNext w:val="true"/>
        <w:keepLines w:val="true"/>
        <w:spacing w:before="0" w:after="136"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14: INFORMATIONS RELATIVES AU TRANSPORT</w:t>
      </w:r>
    </w:p>
    <w:p>
      <w:pPr>
        <w:spacing w:before="0" w:after="3" w:line="265"/>
        <w:ind w:right="32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before="0" w:after="702"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cas de fuite accidentelle ou d'incendie durant le transport, se référer aux instructions données aux points 5, 6, 7 et 8 ci-dessus.</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14.1. Numéro ONU ou numéro d’identification</w:t>
      </w:r>
    </w:p>
    <w:p>
      <w:pPr>
        <w:spacing w:before="0" w:after="6"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133"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67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14.2. Désignation officielle de transport de l'ONU</w:t>
      </w:r>
    </w:p>
    <w:p>
      <w:pPr>
        <w:spacing w:before="0" w:after="6"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5"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14.3. Classe(s) de danger pour le transport</w:t>
      </w:r>
    </w:p>
    <w:p>
      <w:pPr>
        <w:spacing w:before="0" w:after="6"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5"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4"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14.4. Groupe d’emballage</w:t>
      </w:r>
    </w:p>
    <w:p>
      <w:pPr>
        <w:spacing w:before="0" w:after="6"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5"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14.5. Dangers pour l’environnement</w:t>
      </w:r>
    </w:p>
    <w:p>
      <w:pPr>
        <w:spacing w:before="0" w:after="325"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 : NON REGLEMENTE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14.6. Précautions particulières à prendre par l’utilisateur</w:t>
      </w:r>
    </w:p>
    <w:p>
      <w:pPr>
        <w:spacing w:before="0" w:after="325"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NON CONCERNE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14.7. Transport maritime en vrac conformément aux instruments de l’OMI</w:t>
      </w:r>
    </w:p>
    <w:p>
      <w:pPr>
        <w:spacing w:before="0" w:after="191"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NON CONCERNE</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15: INFORMATIONS RELATIVES A LA REGLEMENTATION</w:t>
      </w:r>
    </w:p>
    <w:p>
      <w:pPr>
        <w:spacing w:before="0" w:after="157"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15.1. Réglementations/législation particulières à la substance ou au mélange en matière de sécurité, de santé et d'environnement</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Règlements de l'UE:</w:t>
      </w:r>
    </w:p>
    <w:p>
      <w:pPr>
        <w:spacing w:before="0" w:after="193" w:line="265"/>
        <w:ind w:right="32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before="0" w:after="193" w:line="265"/>
        <w:ind w:right="32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Autre législation de l'UE: </w:t>
      </w:r>
    </w:p>
    <w:p>
      <w:pPr>
        <w:spacing w:before="0" w:after="685"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DIRECTIVE 2008/98/CE DU PARLEMENT EUROPÉEN ET DU CONSEIL du 19 novembre 2008 relative aux déchets et abrogeant certaines directives.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15.2. Évaluation de la sécurité chimique</w:t>
      </w:r>
    </w:p>
    <w:p>
      <w:pPr>
        <w:spacing w:before="0" w:after="771"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évaluation de la sécurité chimique n'a été réalisée pour cette substance/ce mélange par le fournisseur.</w:t>
      </w:r>
    </w:p>
    <w:p>
      <w:pPr>
        <w:keepNext w:val="true"/>
        <w:keepLines w:val="true"/>
        <w:spacing w:before="0" w:after="127"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16: AUTRES INFORMATIONS</w:t>
      </w:r>
    </w:p>
    <w:p>
      <w:pPr>
        <w:spacing w:before="0" w:after="96" w:line="259"/>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18"/>
          <w:shd w:fill="auto" w:val="clear"/>
        </w:rPr>
        <w:t xml:space="preserve">Texte intégral des phrases H citées en point 3 :</w:t>
      </w:r>
    </w:p>
    <w:p>
      <w:pPr>
        <w:tabs>
          <w:tab w:val="center" w:pos="2679"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H302</w:t>
        <w:tab/>
        <w:t xml:space="preserve">Nocif en cas d'ingestion.</w:t>
      </w:r>
    </w:p>
    <w:p>
      <w:pPr>
        <w:tabs>
          <w:tab w:val="center" w:pos="2983"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H315</w:t>
        <w:tab/>
        <w:t xml:space="preserve">Provoque une irritation cutanée.</w:t>
      </w:r>
    </w:p>
    <w:p>
      <w:pPr>
        <w:tabs>
          <w:tab w:val="center" w:pos="3185"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H317</w:t>
        <w:tab/>
        <w:t xml:space="preserve">Peut provoquer une allergie cutanée.</w:t>
      </w:r>
    </w:p>
    <w:p>
      <w:pPr>
        <w:tabs>
          <w:tab w:val="center" w:pos="3317" w:leader="none"/>
        </w:tabs>
        <w:spacing w:before="0" w:after="91"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H319</w:t>
        <w:tab/>
        <w:t xml:space="preserve">Provoque une sévère irritation des yeux.</w:t>
      </w:r>
    </w:p>
    <w:p>
      <w:pPr>
        <w:tabs>
          <w:tab w:val="center" w:pos="5226"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H410</w:t>
        <w:tab/>
        <w:t xml:space="preserve">Très toxique pour les organismes aquatiques, entraîne des effets néfastes à long terme.</w:t>
      </w:r>
    </w:p>
    <w:p>
      <w:pPr>
        <w:tabs>
          <w:tab w:val="center" w:pos="5043" w:leader="none"/>
        </w:tabs>
        <w:spacing w:before="0" w:after="105"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H411</w:t>
        <w:tab/>
        <w:t xml:space="preserve">Toxique pour les organismes aquatiques, entraîne des effets néfastes à long terme.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Abréviations et acronymes: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ADN: Accord européen relatif au transport international des marchandises Dangereuses par voie de Navigation intérieure.</w:t>
      </w:r>
    </w:p>
    <w:p>
      <w:pPr>
        <w:spacing w:before="0" w:after="3" w:line="265"/>
        <w:ind w:right="1032"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ADR: european Agreement concerning the international carriage of Dangerous goods by Road. CAS: Chemical Abstracts Service.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 Commission Européenne.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CED: Catalogue Européen des Déchets.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CEE: Communauté Economique Européenne.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CLP: Classification, Labelling, Packaging.</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EINECS: European INventory of Existing Commercial chemical Substances.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GHS: Global Harmonized System.</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IATA-DGR : International Air Transport Association - Dangerous Goods Regulations.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IBC: International Code for the Construction and Equipment of Ships Carrying Dangerous Chemicals in Bulk.</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ICAO-TI: International Civil Aviation Organization - Technical Instructions.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IMDG : International Maritime Dangerous Goods.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OMI: Organisation Maritime Internationale.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ONU: Organisation des Nations Unies.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PBT: Persistent, Bioaccumulative, Toxic.</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REACH: Registration, Evaluation, Authorisation and Restriction of CHemicals.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RID: Regulations concerning the International carriage of Dangerous goods by rail.</w:t>
      </w:r>
    </w:p>
    <w:p>
      <w:pPr>
        <w:spacing w:before="0" w:after="193" w:line="265"/>
        <w:ind w:right="594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UE: Union Européenne. vPvB: very Persistent, very Bioaccumulative.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renseignements contenus dans cette fiche sont basés sur l'état de nos connaissances relatives au produit concerné au moment de l'émission de cette fiche.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L'attention des utilisateurs est en outre attirée sur les risques éventuellement encourus lorsqu'un produit est utilisé à un usage autre que celui pour lequel il a été conçu.</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Ces indications sont fondées sur l'état actuel de nos connaissances, mais ne constituent pas une garantie quant aux propriétés du produit et ne donnent pas lieu à une relation juridique contractuelle.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128">
    <w:abstractNumId w:val="18"/>
  </w:num>
  <w:num w:numId="242">
    <w:abstractNumId w:val="12"/>
  </w:num>
  <w:num w:numId="245">
    <w:abstractNumId w:val="6"/>
  </w:num>
  <w:num w:numId="24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