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 : Identification de la substance/du mélange et de la société/de l’entreprise</w:t>
            </w:r>
          </w:p>
        </w:tc>
      </w:tr>
    </w:tbl>
    <w:p>
      <w:pPr>
        <w:spacing w:before="0" w:after="0" w:line="240"/>
        <w:ind w:right="0" w:left="-567" w:firstLine="0"/>
        <w:jc w:val="left"/>
        <w:rPr>
          <w:rFonts w:ascii="Arial" w:hAnsi="Arial" w:cs="Arial" w:eastAsia="Arial"/>
          <w:b/>
          <w:color w:val="984806"/>
          <w:spacing w:val="0"/>
          <w:position w:val="0"/>
          <w:sz w:val="22"/>
          <w:shd w:fill="auto" w:val="clear"/>
        </w:rPr>
      </w:pPr>
    </w:p>
    <w:tbl>
      <w:tblPr/>
      <w:tblGrid>
        <w:gridCol w:w="9634"/>
      </w:tblGrid>
      <w:tr>
        <w:trPr>
          <w:trHeight w:val="173"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 Identificateur de produit</w:t>
            </w:r>
          </w:p>
        </w:tc>
      </w:tr>
    </w:tbl>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Nom</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du</w:t>
      </w:r>
      <w:r>
        <w:rPr>
          <w:rFonts w:ascii="Arial" w:hAnsi="Arial" w:cs="Arial" w:eastAsia="Arial"/>
          <w:color w:val="auto"/>
          <w:spacing w:val="-1"/>
          <w:position w:val="0"/>
          <w:sz w:val="16"/>
          <w:shd w:fill="auto" w:val="clear"/>
        </w:rPr>
        <w:t xml:space="preserve"> </w:t>
      </w:r>
      <w:r>
        <w:rPr>
          <w:rFonts w:ascii="Arial" w:hAnsi="Arial" w:cs="Arial" w:eastAsia="Arial"/>
          <w:color w:val="auto"/>
          <w:spacing w:val="-2"/>
          <w:position w:val="0"/>
          <w:sz w:val="16"/>
          <w:shd w:fill="auto" w:val="clear"/>
        </w:rPr>
        <w:t xml:space="preserve">produit</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66"/>
          <w:position w:val="0"/>
          <w:sz w:val="16"/>
          <w:shd w:fill="auto" w:val="clear"/>
        </w:rPr>
        <w:t xml:space="preserve">RITUALS </w:t>
      </w:r>
      <w:r>
        <w:rPr>
          <w:rFonts w:ascii="Arial" w:hAnsi="Arial" w:cs="Arial" w:eastAsia="Arial"/>
          <w:b/>
          <w:color w:val="auto"/>
          <w:spacing w:val="0"/>
          <w:position w:val="0"/>
          <w:sz w:val="16"/>
          <w:shd w:fill="auto" w:val="clear"/>
        </w:rPr>
        <w:t xml:space="preserve">HAMMAM </w:t>
      </w:r>
      <w:r>
        <w:rPr>
          <w:rFonts w:ascii="Arial" w:hAnsi="Arial" w:cs="Arial" w:eastAsia="Arial"/>
          <w:color w:val="auto"/>
          <w:spacing w:val="66"/>
          <w:position w:val="0"/>
          <w:sz w:val="16"/>
          <w:shd w:fill="auto" w:val="clear"/>
        </w:rPr>
        <w:t xml:space="preserve"> </w:t>
      </w:r>
      <w:r>
        <w:rPr>
          <w:rFonts w:ascii="Arial" w:hAnsi="Arial" w:cs="Arial" w:eastAsia="Arial"/>
          <w:b/>
          <w:color w:val="auto"/>
          <w:spacing w:val="0"/>
          <w:position w:val="0"/>
          <w:sz w:val="16"/>
          <w:shd w:fill="auto" w:val="clear"/>
        </w:rPr>
        <w:t xml:space="preserve">  7</w:t>
      </w:r>
      <w:r>
        <w:rPr>
          <w:rFonts w:ascii="Arial" w:hAnsi="Arial" w:cs="Arial" w:eastAsia="Arial"/>
          <w:b/>
          <w:color w:val="auto"/>
          <w:spacing w:val="-2"/>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 Utilisations identifiées pertinentes de la substance ou du mélange et utilisations déconseillées</w:t>
            </w:r>
          </w:p>
        </w:tc>
      </w:tr>
    </w:tbl>
    <w:p>
      <w:pPr>
        <w:spacing w:before="0" w:after="0" w:line="240"/>
        <w:ind w:right="0" w:left="-567" w:firstLine="0"/>
        <w:jc w:val="left"/>
        <w:rPr>
          <w:rFonts w:ascii="Arial" w:hAnsi="Arial" w:cs="Arial" w:eastAsia="Arial"/>
          <w:color w:val="auto"/>
          <w:spacing w:val="0"/>
          <w:position w:val="0"/>
          <w:sz w:val="22"/>
          <w:shd w:fill="auto" w:val="clear"/>
        </w:rPr>
      </w:pPr>
    </w:p>
    <w:p>
      <w:pPr>
        <w:numPr>
          <w:ilvl w:val="0"/>
          <w:numId w:val="15"/>
        </w:numPr>
        <w:tabs>
          <w:tab w:val="left" w:pos="565" w:leader="none"/>
        </w:tabs>
        <w:spacing w:before="120" w:after="0" w:line="240"/>
        <w:ind w:right="0" w:left="564" w:hanging="445"/>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Utilisations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0"/>
          <w:position w:val="0"/>
          <w:sz w:val="16"/>
          <w:shd w:fill="auto" w:val="clear"/>
        </w:rPr>
        <w:t xml:space="preserve">identifiées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2"/>
          <w:position w:val="0"/>
          <w:sz w:val="16"/>
          <w:shd w:fill="auto" w:val="clear"/>
        </w:rPr>
        <w:t xml:space="preserve">pertinentes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Catégorie d'usage principal</w:t>
        <w:tab/>
        <w:t xml:space="preserve">: </w:t>
      </w:r>
      <w:r>
        <w:rPr>
          <w:rFonts w:ascii="Arial" w:hAnsi="Arial" w:cs="Arial" w:eastAsia="Arial"/>
          <w:color w:val="auto"/>
          <w:spacing w:val="0"/>
          <w:position w:val="0"/>
          <w:sz w:val="16"/>
          <w:shd w:fill="auto" w:val="clear"/>
        </w:rPr>
        <w:t xml:space="preserve">Bougie/Fondant parfumé à destination du grand public</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 Renseignements concernant le fournisseur de la fiche de données de sécurité</w:t>
            </w: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3256"/>
        <w:gridCol w:w="5806"/>
      </w:tblGrid>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NOM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ADRESSE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TELEPHONE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MAIL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1.4. Numéro d’appel d’urgence</w:t>
            </w:r>
          </w:p>
        </w:tc>
      </w:tr>
    </w:tbl>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Belgique : +32 070 245 245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France : +33 (0)1 45 42 59 59</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Luxembourg : +32 (0) 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2 : Identification des dangers</w:t>
            </w:r>
          </w:p>
        </w:tc>
      </w:tr>
      <w:tr>
        <w:trPr>
          <w:trHeight w:val="409" w:hRule="auto"/>
          <w:jc w:val="left"/>
        </w:trPr>
        <w:tc>
          <w:tcPr>
            <w:tcW w:w="9634" w:type="dxa"/>
            <w:tcBorders>
              <w:top w:val="single" w:color="000000" w:sz="0"/>
              <w:left w:val="single" w:color="000000" w:sz="0"/>
              <w:bottom w:val="single" w:color="000000" w:sz="0"/>
              <w:right w:val="single" w:color="000000"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2.1 Classification de la substance ou du mélange</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Classification selon le règlement (CE) N° 1272/2008 [CLP]</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6658"/>
        <w:gridCol w:w="2404"/>
      </w:tblGrid>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Sensibilisation cutanée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Cat</w:t>
            </w:r>
            <w:r>
              <w:rPr>
                <w:rFonts w:ascii="Arial" w:hAnsi="Arial" w:cs="Arial" w:eastAsia="Arial"/>
                <w:color w:val="auto"/>
                <w:spacing w:val="0"/>
                <w:position w:val="0"/>
                <w:sz w:val="16"/>
                <w:shd w:fill="auto" w:val="clear"/>
              </w:rPr>
              <w:t xml:space="preserve">égorie 1B</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r>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Toxicit</w:t>
            </w:r>
            <w:r>
              <w:rPr>
                <w:rFonts w:ascii="Arial" w:hAnsi="Arial" w:cs="Arial" w:eastAsia="Arial"/>
                <w:color w:val="auto"/>
                <w:spacing w:val="0"/>
                <w:position w:val="0"/>
                <w:sz w:val="16"/>
                <w:shd w:fill="auto" w:val="clear"/>
              </w:rPr>
              <w:t xml:space="preserve">é chronique catégorie 3</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Effets néfastes physicochimiques, pour la santé humaine et pour l’environnement</w:t>
      </w: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provoquer une allergie cutanée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2.2 Eléments d’étiquetage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Etiquetage selon le règlement (CE) N° 1272/2008 [CLP]</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Pictogrammes de danger (CLP) </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object w:dxaOrig="1025" w:dyaOrig="1025">
          <v:rect xmlns:o="urn:schemas-microsoft-com:office:office" xmlns:v="urn:schemas-microsoft-com:vml" id="rectole0000000000" style="width:51.250000pt;height:51.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d'avertissement</w:t>
      </w:r>
      <w:r>
        <w:rPr>
          <w:rFonts w:ascii="Arial" w:hAnsi="Arial" w:cs="Arial" w:eastAsia="Arial"/>
          <w:color w:val="auto"/>
          <w:spacing w:val="-5"/>
          <w:position w:val="0"/>
          <w:sz w:val="16"/>
          <w:shd w:fill="auto" w:val="clear"/>
        </w:rPr>
        <w:t xml:space="preserve"> </w:t>
      </w:r>
      <w:r>
        <w:rPr>
          <w:rFonts w:ascii="Arial" w:hAnsi="Arial" w:cs="Arial" w:eastAsia="Arial"/>
          <w:color w:val="auto"/>
          <w:spacing w:val="-2"/>
          <w:position w:val="0"/>
          <w:sz w:val="16"/>
          <w:shd w:fill="auto" w:val="clear"/>
        </w:rPr>
        <w:t xml:space="preserve">(CLP)</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72"/>
          <w:position w:val="0"/>
          <w:sz w:val="16"/>
          <w:shd w:fill="auto" w:val="clear"/>
        </w:rPr>
        <w:t xml:space="preserve"> </w:t>
      </w:r>
      <w:r>
        <w:rPr>
          <w:rFonts w:ascii="Arial" w:hAnsi="Arial" w:cs="Arial" w:eastAsia="Arial"/>
          <w:color w:val="auto"/>
          <w:spacing w:val="-2"/>
          <w:position w:val="0"/>
          <w:sz w:val="16"/>
          <w:shd w:fill="auto" w:val="clear"/>
        </w:rPr>
        <w:t xml:space="preserve">ATTENTION</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Mentions de dangers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129"/>
        <w:gridCol w:w="7933"/>
      </w:tblGrid>
      <w:tr>
        <w:trPr>
          <w:trHeight w:val="1" w:hRule="atLeast"/>
          <w:jc w:val="left"/>
        </w:trPr>
        <w:tc>
          <w:tcPr>
            <w:tcW w:w="11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w:t>
            </w:r>
          </w:p>
        </w:tc>
        <w:tc>
          <w:tcPr>
            <w:tcW w:w="79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allergie cutanée</w:t>
            </w:r>
          </w:p>
        </w:tc>
      </w:tr>
      <w:tr>
        <w:trPr>
          <w:trHeight w:val="1" w:hRule="atLeast"/>
          <w:jc w:val="left"/>
        </w:trPr>
        <w:tc>
          <w:tcPr>
            <w:tcW w:w="11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79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Conseils de prudence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271"/>
        <w:gridCol w:w="7791"/>
      </w:tblGrid>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consultation d'un médecin, garder à disposition le récipient ou l'étiquette.</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Tenir hors de portée des enfants.</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Lire l'étiquette avant utilisation.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P273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 rejet dans l’environnement.</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P302+P352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CONTACT AVEC LA PEAU : Laver à l'eau et au savon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P332+P313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d'irritation cutanée : consulter un médecin.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P501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Éliminer le récipient dans une installation de recyclage ou d'élimination des déchets approuvée.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EUH208 : Contient :</w:t>
      </w:r>
      <w:r>
        <w:rPr>
          <w:rFonts w:ascii="Arial" w:hAnsi="Arial" w:cs="Arial" w:eastAsia="Arial"/>
          <w:color w:val="auto"/>
          <w:spacing w:val="0"/>
          <w:position w:val="0"/>
          <w:sz w:val="16"/>
          <w:shd w:fill="auto" w:val="clear"/>
        </w:rPr>
        <w:t xml:space="preserve"> Eucalyptol, Linalool, Hexyl cinnamaldehyde, Isocyclocitral, d-Limonene, Hivertal , Floralozone, alpha-Pinene. Peut produire une réaction allergique.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ab/>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2.3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PBT/vPvB </w:t>
      </w:r>
      <w:r>
        <w:rPr>
          <w:rFonts w:ascii="Cambria Math" w:hAnsi="Cambria Math" w:cs="Cambria Math" w:eastAsia="Cambria Math"/>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0,1 % évaluées conformément à l'annexe XIII du règlement REACH</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position w:val="0"/>
                <w:shd w:fill="auto" w:val="clear"/>
              </w:rPr>
            </w:pPr>
            <w:r>
              <w:rPr>
                <w:rFonts w:ascii="Arial" w:hAnsi="Arial" w:cs="Arial" w:eastAsia="Arial"/>
                <w:b/>
                <w:color w:val="FFFFFF"/>
                <w:spacing w:val="0"/>
                <w:position w:val="0"/>
                <w:sz w:val="20"/>
                <w:shd w:fill="auto" w:val="clear"/>
              </w:rPr>
              <w:t xml:space="preserve">RUBRIQUE 3 : Composition/informations</w:t>
            </w:r>
            <w:r>
              <w:rPr>
                <w:rFonts w:ascii="Arial" w:hAnsi="Arial" w:cs="Arial" w:eastAsia="Arial"/>
                <w:b/>
                <w:color w:val="FFFFFF"/>
                <w:spacing w:val="-3"/>
                <w:position w:val="0"/>
                <w:sz w:val="20"/>
                <w:shd w:fill="auto" w:val="clear"/>
              </w:rPr>
              <w:t xml:space="preserve"> </w:t>
            </w:r>
            <w:r>
              <w:rPr>
                <w:rFonts w:ascii="Arial" w:hAnsi="Arial" w:cs="Arial" w:eastAsia="Arial"/>
                <w:b/>
                <w:color w:val="FFFFFF"/>
                <w:spacing w:val="0"/>
                <w:position w:val="0"/>
                <w:sz w:val="20"/>
                <w:shd w:fill="auto" w:val="clear"/>
              </w:rPr>
              <w:t xml:space="preserve">sur</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0"/>
                <w:position w:val="0"/>
                <w:sz w:val="20"/>
                <w:shd w:fill="auto" w:val="clear"/>
              </w:rPr>
              <w:t xml:space="preserve">les</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2"/>
                <w:position w:val="0"/>
                <w:sz w:val="20"/>
                <w:shd w:fill="auto" w:val="clear"/>
              </w:rPr>
              <w:t xml:space="preserve">composants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3.1 Substances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3.2 Mélanges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1417"/>
        <w:gridCol w:w="1472"/>
        <w:gridCol w:w="1363"/>
        <w:gridCol w:w="2835"/>
      </w:tblGrid>
      <w:tr>
        <w:trPr>
          <w:trHeight w:val="394" w:hRule="auto"/>
          <w:jc w:val="left"/>
        </w:trPr>
        <w:tc>
          <w:tcPr>
            <w:tcW w:w="254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NOM</w:t>
            </w:r>
          </w:p>
        </w:tc>
        <w:tc>
          <w:tcPr>
            <w:tcW w:w="141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CAS</w:t>
            </w:r>
          </w:p>
        </w:tc>
        <w:tc>
          <w:tcPr>
            <w:tcW w:w="1472"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EC</w:t>
            </w:r>
          </w:p>
        </w:tc>
        <w:tc>
          <w:tcPr>
            <w:tcW w:w="1363"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w:t>
            </w:r>
          </w:p>
        </w:tc>
        <w:tc>
          <w:tcPr>
            <w:tcW w:w="2835"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6"/>
                <w:shd w:fill="auto" w:val="clear"/>
              </w:rPr>
              <w:t xml:space="preserve">Classification selon le règlement (CE) N° 1272/2008 [CLP]</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Eucalyptol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470-82-6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207-431-5</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1.5-3.5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Flam. Liq. 3;H226</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Skin Sens. 1;H317</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Dihydromyrcenol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18479-58-8</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242-362-4</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0.7-1.4</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Eye Irrit. 2;H319</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Linalool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78-70-6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201-134-4</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0.35-0.7</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Hexyl cinnamaldehyde</w:t>
            </w: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101-86-0</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202-983-3</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1;H400</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2;H411</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Isocyclocitral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1335-66-6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215-638-7</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3;H412</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d-Limonene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5989-27-5</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227-813-5</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Flam. Liq. 3;H226</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Asp. Tox. 1;H304</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1;H400</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3;H412</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Hivertal (Cyclal C, 2,4-Dimethyl-3-</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cyclohexen-1-carboxaldehyde)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68039-49-6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268-264-1</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2;H411</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alpha,alpha-Dimethyl-pethylphenylpropanal</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(Floralozone)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67634-15-5</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266-819-2</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1;H400</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2;H411</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alpha-Pinene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80-56-8</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201-291-9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Flam. Liq. 3;H226</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Asp. Tox. 1;H304</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(Oral);H302</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1;H400</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1;H410</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4 :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4.1 Description des mesures de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inhalation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Transporter la personne à l’extérieur et la maintenir dans une position où elle peut confortablement respirer.</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avec la peau</w:t>
              <w:tab/>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Laver la peau avec beaucoup d'eau. En cas d’irritation</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ou d'éruption cutanée: consulter un médecin.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oculaire</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Rincer les yeux à l'eau par mesure de précaution.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ingestion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Appeler un centre antipoison ou un médecin en cas de malaise.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4.2 Principaux symptômes et effets, aigus et différés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4.3 Indication des éventuels soins médicaux immédiats et traitements particuliers nécessaires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Traitement symptomatique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5 : Mesures de lutte contre l’incendie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5.1 Moyens d’extinction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Moyens d'extinction appropriés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Eau pulvérisée. Poudre sèche. Mousse. Dioxyde de carbone.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5.2 Dangers particuliers résultant de la substance ou du mélange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Produits de décomposition dangereux en cas d'incendie                                                           : </w:t>
            </w:r>
          </w:p>
          <w:p>
            <w:pPr>
              <w:spacing w:before="0" w:after="0" w:line="240"/>
              <w:ind w:right="0" w:left="0" w:firstLine="0"/>
              <w:jc w:val="left"/>
              <w:rPr>
                <w:color w:val="auto"/>
                <w:spacing w:val="0"/>
                <w:position w:val="0"/>
                <w:shd w:fill="auto" w:val="clear"/>
              </w:rPr>
            </w:pP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Dégagement possible de fumées toxiques.</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5.3 Conseils aux pompiers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Protection en cas d'incendie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Appareil de protection respiratoire autonome isolant. Protection complète du corps.</w:t>
            </w:r>
          </w:p>
          <w:p>
            <w:pPr>
              <w:spacing w:before="0" w:after="0" w:line="240"/>
              <w:ind w:right="0" w:left="0" w:firstLine="0"/>
              <w:jc w:val="left"/>
              <w:rPr>
                <w:color w:val="auto"/>
                <w:spacing w:val="0"/>
                <w:position w:val="0"/>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6 : Mesures à prendre en cas de dispersion accidentelle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6.1 Précautions individuelles, équipement de protection et procédures d’urgence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6.1.1 Pour les non-secouristes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                                         :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Ventiler la zone. Eviter le contact avec la peau et les yeux. Éviter de respirer les poussières/fumées/gaz/brouillards/vapeurs/aérosols.</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6.1.2 Pour les 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Arial" w:hAnsi="Arial" w:cs="Arial" w:eastAsia="Arial"/>
                <w:color w:val="auto"/>
                <w:spacing w:val="0"/>
                <w:position w:val="0"/>
                <w:sz w:val="16"/>
                <w:shd w:fill="auto" w:val="clear"/>
              </w:rPr>
              <w:t xml:space="preserve">Equipement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protection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Pour plus d'informations, se reporter à la rubrique 8 : "Contrôle de l'exposition-protection individuelle".</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6.2 Précautions pour la protection de l’environnement</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Eviter le rejet dans l’environnement.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6.3 Méthodes et matériel de confinement et de nettoyage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Eliminer les matières ou résidus solides dans un centre autorisé.</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6.4 Références à d’autres rubriques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Pour plus d'informations, se reporter à la rubrique 13.</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7 : Manipulation et stockage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7.1 Précautions à prendre pour une manipulation sans danger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manger, boire ou fumer en manipulant ce produit. Se laver les mains après toute manipulation.</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7.2 Conditions d'un stockage sûr, y compris les éventuelles incompatibilités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539"/>
        <w:gridCol w:w="5523"/>
        <w:gridCol w:w="572"/>
      </w:tblGrid>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Conditions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à l’abri de la lumière.</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les températures extrêmes.</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Prescriptions particulières concernant         l'emballage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dans un récipient fermé.</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Matériaux d'emballage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conserver dans un métal sensible à la corrosion.</w:t>
            </w:r>
          </w:p>
          <w:p>
            <w:pPr>
              <w:spacing w:before="0" w:after="0" w:line="240"/>
              <w:ind w:right="0" w:left="0" w:firstLine="0"/>
              <w:jc w:val="left"/>
              <w:rPr>
                <w:color w:val="auto"/>
                <w:spacing w:val="0"/>
                <w:position w:val="0"/>
                <w:shd w:fill="auto" w:val="clear"/>
              </w:rPr>
            </w:pP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8 : Contrôles de l’exposition/protection individuelle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8.1 Paramètres de contrôle</w:t>
            </w:r>
          </w:p>
        </w:tc>
      </w:tr>
    </w:tbl>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8.2 Contrôles de l’exposition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9 : Propriétés physiques et chimiques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9.1 Informations sur les propriétés physiques et chimiques essentielles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État physique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Solide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Couleur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Odeur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Caractéristique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Seuil Olfactif</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fusion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d’ébullition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congélation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Inflammabilité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Limites d’explosivité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inférieure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supérieure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éclair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&gt;100°C</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d'auto-inflammation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décomposition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Viscosité, cinématique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Solubilité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Coefficient de partage n-octanol/eau (Log Kow)</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 à 50°C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Masse volumique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 de vapeur à 20°C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Caractéristiques d’une particule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9.2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10 : Stabilité et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10.1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n'est pas réactif dans les conditions normales d'utilisation, de stockage et de transport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10.2 Stabilité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Stable dans les conditions normales.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10.3 Possibilité de réactions dangereuses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de réaction dangereuse connue dans les conditions normales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10.4 Conditions à éviter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dans des conditions de stockage et de manipulation recommandées (voir rubrique 7).</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10.5 Matières incompatibles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10.6 Produits de décomposition dangereux</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 produit de décomposition dangereux ne devrait être généré dans les conditions normales de stockage et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11 : Informations toxicologiques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11.1 Informations sur les classes de danger telles que définies dans le règlement (CE) n° 1272/2008</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(orale)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(Inhalation)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Corrosion cutanée/irritation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Lésions oculaires graves/irritation oculaire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Sensibilisation respiratoire ou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Peut provoquer une allergie cutanée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Mutagénicité sur les cellules germinales</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Cancérogénicité</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pour la reproduction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unique)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répétée)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par aspiration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11.2 Informations sur les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12 : Informations écologiques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12.1 Toxicité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6515"/>
      </w:tblGrid>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Ecologie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g</w:t>
            </w:r>
            <w:r>
              <w:rPr>
                <w:rFonts w:ascii="Arial" w:hAnsi="Arial" w:cs="Arial" w:eastAsia="Arial"/>
                <w:color w:val="auto"/>
                <w:spacing w:val="0"/>
                <w:position w:val="0"/>
                <w:sz w:val="16"/>
                <w:shd w:fill="auto" w:val="clear"/>
              </w:rPr>
              <w:t xml:space="preserve">énéral</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Dangers pour le milieu aquatique, à court terme (aiguë)</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long terme (chronique)</w:t>
            </w: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12.2 Persistance et dégradabilité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12.3 Potentiel de bioaccumulation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12.4 Mobilité dans le sol</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12.5 Résultats des évaluations PBT et vPvB</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12.6 Propriétés perturbant le système endocrinien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12.7 Autres effets néfastes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13 : Considérations relatives à l’élimination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13.1 Méthodes de traitement des déchets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972"/>
        <w:gridCol w:w="6090"/>
      </w:tblGrid>
      <w:tr>
        <w:trPr>
          <w:trHeight w:val="1" w:hRule="atLeast"/>
          <w:jc w:val="left"/>
        </w:trPr>
        <w:tc>
          <w:tcPr>
            <w:tcW w:w="29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Méthodes de traitement des déchets</w:t>
            </w:r>
          </w:p>
        </w:tc>
        <w:tc>
          <w:tcPr>
            <w:tcW w:w="60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Eliminer le contenu/récipient conformément aux consignes de tri du collecteur agréé.</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14 : Informations relatives au transport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 conformité avec: ADR / IMDG / IATA / ADN / RID</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WGK : 1</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980"/>
        <w:gridCol w:w="1984"/>
        <w:gridCol w:w="1843"/>
        <w:gridCol w:w="1843"/>
        <w:gridCol w:w="1984"/>
      </w:tblGrid>
      <w:tr>
        <w:trPr>
          <w:trHeight w:val="1" w:hRule="atLeast"/>
          <w:jc w:val="left"/>
        </w:trPr>
        <w:tc>
          <w:tcPr>
            <w:tcW w:w="1980"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ADR</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IMDG</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IATA</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ADN</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RID</w:t>
            </w:r>
          </w:p>
          <w:p>
            <w:pPr>
              <w:spacing w:before="0" w:after="0" w:line="240"/>
              <w:ind w:right="0" w:left="0" w:firstLine="0"/>
              <w:jc w:val="center"/>
              <w:rPr>
                <w:color w:val="auto"/>
                <w:spacing w:val="0"/>
                <w:position w:val="0"/>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14.1.</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ONU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d’identification</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14.2.</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Désignation</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officielle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transport</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4"/>
                <w:position w:val="0"/>
                <w:sz w:val="18"/>
                <w:shd w:fill="auto" w:val="clear"/>
              </w:rPr>
              <w:t xml:space="preserve">l'ONU</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6"/>
                <w:shd w:fill="auto" w:val="clear"/>
              </w:rPr>
            </w:pPr>
            <w:r>
              <w:rPr>
                <w:rFonts w:ascii="Arial" w:hAnsi="Arial" w:cs="Arial" w:eastAsia="Arial"/>
                <w:b/>
                <w:color w:val="0070C0"/>
                <w:spacing w:val="0"/>
                <w:position w:val="0"/>
                <w:sz w:val="16"/>
                <w:shd w:fill="auto" w:val="clear"/>
              </w:rPr>
              <w:t xml:space="preserve">Description</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document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14.3.</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Classe(s)</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danger</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le</w:t>
            </w:r>
            <w:r>
              <w:rPr>
                <w:rFonts w:ascii="Arial" w:hAnsi="Arial" w:cs="Arial" w:eastAsia="Arial"/>
                <w:b/>
                <w:color w:val="0070C0"/>
                <w:spacing w:val="-2"/>
                <w:position w:val="0"/>
                <w:sz w:val="18"/>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14.4.</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Groupe</w:t>
            </w:r>
            <w:r>
              <w:rPr>
                <w:rFonts w:ascii="Arial" w:hAnsi="Arial" w:cs="Arial" w:eastAsia="Arial"/>
                <w:b/>
                <w:color w:val="0070C0"/>
                <w:spacing w:val="-2"/>
                <w:position w:val="0"/>
                <w:sz w:val="18"/>
                <w:shd w:fill="auto" w:val="clear"/>
              </w:rPr>
              <w:t xml:space="preserve"> d’emballage</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14.5.</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Dangers</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2"/>
                <w:position w:val="0"/>
                <w:sz w:val="18"/>
                <w:shd w:fill="auto" w:val="clear"/>
              </w:rPr>
              <w:t xml:space="preserve">l'environnement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15 : Informations relatives à la réglementation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15.1 Réglementations/législation particulières à la substance ou au mélange en matière de sécurité, de santé et d’environnement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pPr>
        <w:spacing w:before="96" w:after="0" w:line="288"/>
        <w:ind w:right="232" w:left="120"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15.2 Évaluation de la sécurité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évaluation de la sécurité chimique n'a été effectuée pour cette substance/mélange par le fournisseur ?</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16 :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88"/>
        <w:gridCol w:w="1701"/>
        <w:gridCol w:w="6945"/>
      </w:tblGrid>
      <w:tr>
        <w:trPr>
          <w:trHeight w:val="1" w:hRule="atLeast"/>
          <w:jc w:val="left"/>
        </w:trPr>
        <w:tc>
          <w:tcPr>
            <w:tcW w:w="9634" w:type="dxa"/>
            <w:gridSpan w:val="3"/>
            <w:tcBorders>
              <w:top w:val="single" w:color="0070c0" w:sz="4"/>
              <w:left w:val="single" w:color="0070c0" w:sz="4"/>
              <w:bottom w:val="single" w:color="0070c0" w:sz="4"/>
              <w:right w:val="single" w:color="0070c0" w:sz="4"/>
            </w:tcBorders>
            <w:shd w:color="auto" w:fill="92cddc"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Texte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intégral</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des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phrases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H et </w:t>
            </w:r>
            <w:r>
              <w:rPr>
                <w:rFonts w:ascii="Arial" w:hAnsi="Arial" w:cs="Arial" w:eastAsia="Arial"/>
                <w:b/>
                <w:color w:val="0070C0"/>
                <w:spacing w:val="-4"/>
                <w:position w:val="0"/>
                <w:sz w:val="18"/>
                <w:shd w:fill="auto" w:val="clear"/>
              </w:rPr>
              <w:t xml:space="preserve">EUH:</w:t>
            </w:r>
          </w:p>
          <w:p>
            <w:pPr>
              <w:spacing w:before="0" w:after="0" w:line="240"/>
              <w:ind w:right="0" w:left="0" w:firstLine="0"/>
              <w:jc w:val="left"/>
              <w:rPr>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H226</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Flam. Liq. 3</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Liquide et vapeurs inflammables.</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en cas d’ingestion.</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H304</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Asp. Tox.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être mortel en cas d'ingestion et de pénétration dans les voies respiratoires.</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H315</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Provoque une irritation cutanée.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provoquer une allergie cutanée.</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H319</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Provoque une sévère irritation des yeux.</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H400</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Acute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Très toxique pour les organismes aquatiques.</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H410</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Très toxique pour les organismes aquatiques, entraîne des effets néfastes à long terme.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H411</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Toxique pour les organismes aquatiques, entraîne des effets néfastes à long terme.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tabs>
          <w:tab w:val="left" w:pos="3924" w:leader="none"/>
        </w:tabs>
        <w:spacing w:before="95" w:after="0" w:line="444"/>
        <w:ind w:right="6101"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Fiche de données de sécurité (FDS), 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informations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sont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basées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sur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nos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connaissances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actuelles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décrivent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produit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pour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seuls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besoins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santé,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sécurité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 l’environnement. Elles ne devraient donc pas être interprétées comme garantissant une quelconque propriété spécifique du produit.</w:t>
      </w: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