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7" w:left="0" w:firstLine="0"/>
        <w:jc w:val="center"/>
        <w:rPr>
          <w:rFonts w:ascii="Arial" w:hAnsi="Arial" w:cs="Arial" w:eastAsia="Arial"/>
          <w:color w:val="D49C14"/>
          <w:spacing w:val="0"/>
          <w:position w:val="0"/>
          <w:sz w:val="20"/>
          <w:shd w:fill="073D48" w:val="clear"/>
        </w:rPr>
      </w:pPr>
      <w:r>
        <w:rPr>
          <w:rFonts w:ascii="Arial" w:hAnsi="Arial" w:cs="Arial" w:eastAsia="Arial"/>
          <w:color w:val="D49C14"/>
          <w:spacing w:val="0"/>
          <w:position w:val="0"/>
          <w:sz w:val="36"/>
          <w:shd w:fill="073D48" w:val="clear"/>
        </w:rPr>
        <w:t xml:space="preserve">Fiche de données de sécurité</w:t>
      </w:r>
    </w:p>
    <w:p>
      <w:pPr>
        <w:tabs>
          <w:tab w:val="center" w:pos="1779" w:leader="none"/>
          <w:tab w:val="right" w:pos="9538" w:leader="none"/>
        </w:tabs>
        <w:spacing w:before="0" w:after="37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13/06/2023</w:t>
        <w:tab/>
        <w:t xml:space="preserve">Révision : 001NEW-1-CLP du 13/06/2023</w:t>
      </w:r>
    </w:p>
    <w:p>
      <w:pPr>
        <w:keepNext w:val="true"/>
        <w:keepLines w:val="true"/>
        <w:spacing w:before="0" w:after="136" w:line="259"/>
        <w:ind w:right="5" w:left="0" w:firstLine="0"/>
        <w:jc w:val="center"/>
        <w:rPr>
          <w:rFonts w:ascii="Arial" w:hAnsi="Arial" w:cs="Arial" w:eastAsia="Arial"/>
          <w:b/>
          <w:color w:val="000000"/>
          <w:spacing w:val="0"/>
          <w:position w:val="0"/>
          <w:sz w:val="32"/>
          <w:shd w:fill="D49C14" w:val="clear"/>
        </w:rPr>
      </w:pPr>
      <w:r>
        <w:rPr>
          <w:rFonts w:ascii="Arial" w:hAnsi="Arial" w:cs="Arial" w:eastAsia="Arial"/>
          <w:b/>
          <w:color w:val="000000"/>
          <w:spacing w:val="0"/>
          <w:position w:val="0"/>
          <w:sz w:val="32"/>
          <w:shd w:fill="D49C14" w:val="clear"/>
        </w:rPr>
        <w:t xml:space="preserve">Cuberdon 7%</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92" w:line="368"/>
        <w:ind w:right="7703" w:left="0" w:firstLine="0"/>
        <w:jc w:val="left"/>
        <w:rPr>
          <w:rFonts w:ascii="Microsoft Sans Serif" w:hAnsi="Microsoft Sans Serif" w:cs="Microsoft Sans Serif" w:eastAsia="Microsoft Sans Serif"/>
          <w:color w:val="000000"/>
          <w:spacing w:val="0"/>
          <w:position w:val="0"/>
          <w:sz w:val="17"/>
          <w:shd w:fill="auto" w:val="clear"/>
        </w:rPr>
      </w:pPr>
      <w:r>
        <w:rPr>
          <w:rFonts w:ascii="Microsoft Sans Serif" w:hAnsi="Microsoft Sans Serif" w:cs="Microsoft Sans Serif" w:eastAsia="Microsoft Sans Serif"/>
          <w:color w:val="000000"/>
          <w:spacing w:val="0"/>
          <w:position w:val="0"/>
          <w:sz w:val="17"/>
          <w:shd w:fill="auto" w:val="clear"/>
        </w:rPr>
        <w:t xml:space="preserve">Cuberdon 7% </w:t>
      </w:r>
    </w:p>
    <w:p>
      <w:pPr>
        <w:spacing w:before="0" w:after="115" w:line="250"/>
        <w:ind w:right="7405" w:left="-5" w:hanging="10"/>
        <w:jc w:val="left"/>
        <w:rPr>
          <w:rFonts w:ascii="Arial" w:hAnsi="Arial" w:cs="Arial" w:eastAsia="Arial"/>
          <w:b/>
          <w:color w:val="073D48"/>
          <w:spacing w:val="0"/>
          <w:position w:val="0"/>
          <w:sz w:val="20"/>
          <w:shd w:fill="auto" w:val="clear"/>
        </w:rPr>
      </w:pPr>
      <w:r>
        <w:rPr>
          <w:rFonts w:ascii="Microsoft Sans Serif" w:hAnsi="Microsoft Sans Serif" w:cs="Microsoft Sans Serif" w:eastAsia="Microsoft Sans Serif"/>
          <w:b/>
          <w:color w:val="073D48"/>
          <w:spacing w:val="0"/>
          <w:position w:val="0"/>
          <w:sz w:val="17"/>
          <w:shd w:fill="auto" w:val="clear"/>
        </w:rPr>
        <w:t xml:space="preserve">UFI : NON</w:t>
      </w:r>
    </w:p>
    <w:p>
      <w:pPr>
        <w:spacing w:before="0" w:after="192" w:line="368"/>
        <w:ind w:right="7703" w:left="0" w:firstLine="0"/>
        <w:jc w:val="left"/>
        <w:rPr>
          <w:rFonts w:ascii="Arial" w:hAnsi="Arial" w:cs="Arial" w:eastAsia="Arial"/>
          <w:color w:val="000000"/>
          <w:spacing w:val="0"/>
          <w:position w:val="0"/>
          <w:sz w:val="20"/>
          <w:shd w:fill="auto" w:val="clear"/>
        </w:rPr>
      </w:pPr>
    </w:p>
    <w:p>
      <w:pPr>
        <w:spacing w:before="0" w:after="148"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152" w:line="265"/>
        <w:ind w:right="0" w:left="747" w:hanging="10"/>
        <w:jc w:val="both"/>
        <w:rPr>
          <w:rFonts w:ascii="Arial" w:hAnsi="Arial" w:cs="Arial" w:eastAsia="Arial"/>
          <w:color w:val="000000"/>
          <w:spacing w:val="0"/>
          <w:position w:val="0"/>
          <w:sz w:val="20"/>
          <w:shd w:fill="auto" w:val="clear"/>
        </w:rPr>
      </w:pPr>
    </w:p>
    <w:p>
      <w:pPr>
        <w:spacing w:before="0" w:after="152"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60" w:line="259"/>
        <w:ind w:right="0" w:left="0" w:firstLine="0"/>
        <w:jc w:val="left"/>
        <w:rPr>
          <w:rFonts w:ascii="Arial" w:hAnsi="Arial" w:cs="Arial" w:eastAsia="Arial"/>
          <w:b/>
          <w:color w:val="073D48"/>
          <w:spacing w:val="0"/>
          <w:position w:val="0"/>
          <w:sz w:val="20"/>
          <w:shd w:fill="auto" w:val="clear"/>
        </w:rPr>
      </w:pPr>
      <w:r>
        <w:rPr>
          <w:rFonts w:ascii="Arial" w:hAnsi="Arial" w:cs="Arial" w:eastAsia="Arial"/>
          <w:b/>
          <w:color w:val="073D48"/>
          <w:spacing w:val="0"/>
          <w:position w:val="0"/>
          <w:sz w:val="20"/>
          <w:shd w:fill="auto" w:val="clear"/>
        </w:rPr>
        <w:t xml:space="preserve">Fabricant :</w:t>
      </w:r>
    </w:p>
    <w:p>
      <w:pPr>
        <w:spacing w:before="0" w:after="16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[Nom de votre société]</w:t>
      </w:r>
    </w:p>
    <w:p>
      <w:pPr>
        <w:spacing w:before="0" w:after="16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[Adresse]</w:t>
      </w:r>
    </w:p>
    <w:p>
      <w:pPr>
        <w:spacing w:before="0" w:after="16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[Pays]</w:t>
      </w:r>
    </w:p>
    <w:p>
      <w:pPr>
        <w:spacing w:before="0" w:after="16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[Téléphone]</w:t>
      </w:r>
    </w:p>
    <w:p>
      <w:pPr>
        <w:spacing w:before="0" w:after="160" w:line="259"/>
        <w:ind w:right="0" w:left="0" w:firstLine="0"/>
        <w:jc w:val="left"/>
        <w:rPr>
          <w:rFonts w:ascii="Arial" w:hAnsi="Arial" w:cs="Arial" w:eastAsia="Arial"/>
          <w:color w:val="073D48"/>
          <w:spacing w:val="0"/>
          <w:position w:val="0"/>
          <w:sz w:val="20"/>
          <w:shd w:fill="auto" w:val="clear"/>
        </w:rPr>
      </w:pPr>
      <w:r>
        <w:rPr>
          <w:rFonts w:ascii="Arial" w:hAnsi="Arial" w:cs="Arial" w:eastAsia="Arial"/>
          <w:color w:val="073D48"/>
          <w:spacing w:val="0"/>
          <w:position w:val="0"/>
          <w:sz w:val="20"/>
          <w:shd w:fill="auto" w:val="clear"/>
        </w:rPr>
        <w:t xml:space="preserve">[Mail]</w:t>
      </w:r>
    </w:p>
    <w:p>
      <w:pPr>
        <w:spacing w:before="0" w:after="156" w:line="265"/>
        <w:ind w:right="0" w:left="747" w:hanging="10"/>
        <w:jc w:val="both"/>
        <w:rPr>
          <w:rFonts w:ascii="Arial" w:hAnsi="Arial" w:cs="Arial" w:eastAsia="Arial"/>
          <w:color w:val="000000"/>
          <w:spacing w:val="0"/>
          <w:position w:val="0"/>
          <w:sz w:val="20"/>
          <w:shd w:fill="auto" w:val="clear"/>
        </w:rPr>
      </w:pP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8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Téléphone en cas d’urgence (à utiliser par le médecin traitant) : </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22 64 96 36</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751"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spacing w:before="0" w:after="751" w:line="265"/>
        <w:ind w:right="0" w:left="-5" w:hanging="10"/>
        <w:jc w:val="both"/>
        <w:rPr>
          <w:rFonts w:ascii="Arial" w:hAnsi="Arial" w:cs="Arial" w:eastAsia="Arial"/>
          <w:color w:val="000000"/>
          <w:spacing w:val="0"/>
          <w:position w:val="0"/>
          <w:sz w:val="20"/>
          <w:shd w:fill="auto" w:val="clear"/>
        </w:rPr>
      </w:pP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tbl>
      <w:tblPr/>
      <w:tblGrid>
        <w:gridCol w:w="6615"/>
        <w:gridCol w:w="3025"/>
      </w:tblGrid>
      <w:tr>
        <w:trPr>
          <w:trHeight w:val="512" w:hRule="auto"/>
          <w:jc w:val="left"/>
        </w:trPr>
        <w:tc>
          <w:tcPr>
            <w:tcW w:w="9640" w:type="dxa"/>
            <w:gridSpan w:val="2"/>
            <w:tcBorders>
              <w:top w:val="single" w:color="000000" w:sz="0"/>
              <w:left w:val="single" w:color="000000" w:sz="0"/>
              <w:bottom w:val="single" w:color="000000" w:sz="0"/>
              <w:right w:val="single" w:color="000000" w:sz="0"/>
            </w:tcBorders>
            <w:shd w:color="auto" w:fill="ffffff" w:val="clear"/>
            <w:tcMar>
              <w:left w:w="26" w:type="dxa"/>
              <w:right w:w="26" w:type="dxa"/>
            </w:tcMar>
            <w:vAlign w:val="top"/>
          </w:tcPr>
          <w:p>
            <w:pPr>
              <w:spacing w:before="0" w:after="0" w:line="259"/>
              <w:ind w:right="0" w:left="56" w:firstLine="0"/>
              <w:jc w:val="center"/>
              <w:rPr>
                <w:rFonts w:ascii="Calibri" w:hAnsi="Calibri" w:cs="Calibri" w:eastAsia="Calibri"/>
                <w:color w:val="auto"/>
                <w:spacing w:val="0"/>
                <w:position w:val="0"/>
                <w:sz w:val="22"/>
                <w:shd w:fill="auto" w:val="clear"/>
              </w:rPr>
            </w:pPr>
          </w:p>
        </w:tc>
      </w:tr>
      <w:tr>
        <w:trPr>
          <w:trHeight w:val="4816" w:hRule="auto"/>
          <w:jc w:val="left"/>
        </w:trPr>
        <w:tc>
          <w:tcPr>
            <w:tcW w:w="6615"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141" w:line="259"/>
              <w:ind w:right="0" w:left="79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6" w:line="259"/>
              <w:ind w:right="0" w:left="56"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0" w:line="259"/>
              <w:ind w:right="0" w:left="56" w:firstLine="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320" w:line="259"/>
              <w:ind w:right="0" w:left="56" w:firstLine="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44" w:line="259"/>
              <w:ind w:right="0" w:left="79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6" w:line="259"/>
              <w:ind w:right="0" w:left="56"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16" w:line="259"/>
              <w:ind w:right="0" w:left="56" w:firstLine="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486"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NON CONCERNE</w:t>
            </w:r>
          </w:p>
          <w:p>
            <w:pPr>
              <w:spacing w:before="0" w:after="0" w:line="259"/>
              <w:ind w:right="0" w:left="793" w:firstLine="0"/>
              <w:jc w:val="left"/>
              <w:rPr>
                <w:spacing w:val="0"/>
                <w:position w:val="0"/>
                <w:shd w:fill="auto" w:val="clear"/>
              </w:rPr>
            </w:pPr>
            <w:r>
              <w:rPr>
                <w:rFonts w:ascii="Arial" w:hAnsi="Arial" w:cs="Arial" w:eastAsia="Arial"/>
                <w:color w:val="000000"/>
                <w:spacing w:val="0"/>
                <w:position w:val="0"/>
                <w:sz w:val="20"/>
                <w:shd w:fill="auto" w:val="clear"/>
              </w:rPr>
              <w:t xml:space="preserve">2.3. Autres dangers</w:t>
            </w:r>
          </w:p>
        </w:tc>
        <w:tc>
          <w:tcPr>
            <w:tcW w:w="3025"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0" w:line="259"/>
              <w:ind w:right="0" w:left="0" w:firstLine="0"/>
              <w:jc w:val="both"/>
              <w:rPr>
                <w:rFonts w:ascii="Calibri" w:hAnsi="Calibri" w:cs="Calibri" w:eastAsia="Calibri"/>
                <w:color w:val="auto"/>
                <w:spacing w:val="0"/>
                <w:position w:val="0"/>
                <w:sz w:val="22"/>
                <w:shd w:fill="auto" w:val="clear"/>
              </w:rPr>
            </w:pPr>
          </w:p>
        </w:tc>
      </w:tr>
      <w:tr>
        <w:trPr>
          <w:trHeight w:val="356" w:hRule="auto"/>
          <w:jc w:val="left"/>
        </w:trPr>
        <w:tc>
          <w:tcPr>
            <w:tcW w:w="6615" w:type="dxa"/>
            <w:tcBorders>
              <w:top w:val="single" w:color="000000" w:sz="0"/>
              <w:left w:val="single" w:color="000000" w:sz="0"/>
              <w:bottom w:val="single" w:color="000000" w:sz="0"/>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3: COMPOSITION/INFORMATIONS SUR LES COMPOSANTS</w:t>
            </w:r>
          </w:p>
        </w:tc>
        <w:tc>
          <w:tcPr>
            <w:tcW w:w="3025" w:type="dxa"/>
            <w:tcBorders>
              <w:top w:val="single" w:color="000000" w:sz="0"/>
              <w:left w:val="single" w:color="000000" w:sz="0"/>
              <w:bottom w:val="single" w:color="000000" w:sz="0"/>
              <w:right w:val="single" w:color="000000" w:sz="0"/>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584" w:hRule="auto"/>
          <w:jc w:val="left"/>
        </w:trPr>
        <w:tc>
          <w:tcPr>
            <w:tcW w:w="6615"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161" w:line="259"/>
              <w:ind w:right="0" w:left="79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881" w:line="259"/>
              <w:ind w:right="0" w:left="56"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w:t>
            </w:r>
          </w:p>
          <w:p>
            <w:pPr>
              <w:spacing w:before="0" w:after="341" w:line="259"/>
              <w:ind w:right="0" w:left="79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p>
            <w:pPr>
              <w:spacing w:before="0" w:after="0" w:line="259"/>
              <w:ind w:right="0" w:left="56" w:firstLine="0"/>
              <w:jc w:val="left"/>
              <w:rPr>
                <w:spacing w:val="0"/>
                <w:position w:val="0"/>
                <w:shd w:fill="auto" w:val="clear"/>
              </w:rPr>
            </w:pPr>
            <w:r>
              <w:rPr>
                <w:rFonts w:ascii="Arial" w:hAnsi="Arial" w:cs="Arial" w:eastAsia="Arial"/>
                <w:color w:val="000000"/>
                <w:spacing w:val="0"/>
                <w:position w:val="0"/>
                <w:sz w:val="20"/>
                <w:shd w:fill="auto" w:val="clear"/>
              </w:rPr>
              <w:t xml:space="preserve">COMPOSITION : Mélange de matières premières aromatiques.</w:t>
            </w:r>
          </w:p>
        </w:tc>
        <w:tc>
          <w:tcPr>
            <w:tcW w:w="3025"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56" w:hRule="auto"/>
          <w:jc w:val="left"/>
        </w:trPr>
        <w:tc>
          <w:tcPr>
            <w:tcW w:w="6615" w:type="dxa"/>
            <w:tcBorders>
              <w:top w:val="single" w:color="000000" w:sz="0"/>
              <w:left w:val="single" w:color="000000" w:sz="0"/>
              <w:bottom w:val="single" w:color="000000" w:sz="0"/>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4: PREMIERS SECOURS</w:t>
            </w:r>
          </w:p>
        </w:tc>
        <w:tc>
          <w:tcPr>
            <w:tcW w:w="3025" w:type="dxa"/>
            <w:tcBorders>
              <w:top w:val="single" w:color="000000" w:sz="0"/>
              <w:left w:val="single" w:color="000000" w:sz="0"/>
              <w:bottom w:val="single" w:color="000000" w:sz="0"/>
              <w:right w:val="single" w:color="000000" w:sz="0"/>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0" w:left="-5" w:hanging="10"/>
        <w:jc w:val="both"/>
        <w:rPr>
          <w:rFonts w:ascii="Arial" w:hAnsi="Arial" w:cs="Arial" w:eastAsia="Arial"/>
          <w:color w:val="000000"/>
          <w:spacing w:val="0"/>
          <w:position w:val="0"/>
          <w:sz w:val="20"/>
          <w:shd w:fill="auto" w:val="clear"/>
        </w:rPr>
      </w:pPr>
    </w:p>
    <w:p>
      <w:pPr>
        <w:spacing w:before="0" w:after="18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912"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3" w:line="427"/>
        <w:ind w:right="3672"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15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w:t>
      </w:r>
    </w:p>
    <w:p>
      <w:pPr>
        <w:spacing w:before="0" w:after="766" w:line="265"/>
        <w:ind w:right="227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Traitement spécifique: premier secours, traitement des symptômes. Commentaires pour le médecin: traiter symptomatiquement.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5"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71"/>
        </w:numPr>
        <w:spacing w:before="0" w:after="3" w:line="265"/>
        <w:ind w:right="0"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71"/>
        </w:numPr>
        <w:spacing w:before="0" w:after="3" w:line="265"/>
        <w:ind w:right="0"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2"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3" w:line="265"/>
        <w:ind w:right="0" w:left="747" w:hanging="10"/>
        <w:jc w:val="both"/>
        <w:rPr>
          <w:rFonts w:ascii="Arial" w:hAnsi="Arial" w:cs="Arial" w:eastAsia="Arial"/>
          <w:color w:val="000000"/>
          <w:spacing w:val="0"/>
          <w:position w:val="0"/>
          <w:sz w:val="20"/>
          <w:shd w:fill="auto" w:val="clear"/>
        </w:rPr>
      </w:pPr>
    </w:p>
    <w:p>
      <w:pPr>
        <w:spacing w:before="0" w:after="3" w:line="265"/>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 vêtements de protection contre les produits chimiques.</w:t>
      </w:r>
    </w:p>
    <w:p>
      <w:pPr>
        <w:spacing w:before="0" w:after="3" w:line="265"/>
        <w:ind w:right="0" w:left="747" w:hanging="10"/>
        <w:jc w:val="both"/>
        <w:rPr>
          <w:rFonts w:ascii="Arial" w:hAnsi="Arial" w:cs="Arial" w:eastAsia="Arial"/>
          <w:color w:val="000000"/>
          <w:spacing w:val="0"/>
          <w:position w:val="0"/>
          <w:sz w:val="20"/>
          <w:shd w:fill="auto" w:val="clear"/>
        </w:rPr>
      </w:pP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22"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1100"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0" w:line="265"/>
        <w:ind w:right="668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19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889"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47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2" w:line="265"/>
        <w:ind w:right="3575"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2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8"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w:t>
      </w:r>
    </w:p>
    <w:p>
      <w:pPr>
        <w:spacing w:before="0" w:after="696"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données à ce jour.</w:t>
      </w:r>
    </w:p>
    <w:p>
      <w:pPr>
        <w:spacing w:before="0" w:after="13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17"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1784" w:line="265"/>
        <w:ind w:right="1925"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9: PROPRIETES PHYSIQUES ET CHIMIQUES</w:t>
      </w:r>
    </w:p>
    <w:p>
      <w:pPr>
        <w:spacing w:before="0" w:after="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1528"/>
      </w:tblGrid>
      <w:tr>
        <w:trPr>
          <w:trHeight w:val="613"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Couleur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Liquide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Odeur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de fusion/point de congélation (@1 atm.)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Inflammabilité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887"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20" w:line="240"/>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Limites inférieure et supérieure d’explosion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rFonts w:ascii="Tahoma" w:hAnsi="Tahoma" w:cs="Tahoma" w:eastAsia="Tahoma"/>
                <w:color w:val="000000"/>
                <w:spacing w:val="0"/>
                <w:position w:val="0"/>
                <w:sz w:val="18"/>
                <w:shd w:fill="auto" w:val="clear"/>
              </w:rPr>
            </w:pPr>
            <w:r>
              <w:rPr>
                <w:rFonts w:ascii="Tahoma" w:hAnsi="Tahoma" w:cs="Tahoma" w:eastAsia="Tahoma"/>
                <w:color w:val="000000"/>
                <w:spacing w:val="0"/>
                <w:position w:val="0"/>
                <w:sz w:val="18"/>
                <w:shd w:fill="auto" w:val="clear"/>
              </w:rPr>
              <w:t xml:space="preserve">pH :</w:t>
            </w:r>
          </w:p>
          <w:p>
            <w:pPr>
              <w:spacing w:before="0" w:after="0" w:line="259"/>
              <w:ind w:right="0" w:left="0" w:firstLine="0"/>
              <w:jc w:val="left"/>
              <w:rPr>
                <w:spacing w:val="0"/>
                <w:position w:val="0"/>
                <w:shd w:fill="auto" w:val="clear"/>
              </w:rPr>
            </w:pP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r>
      <w:tr>
        <w:trPr>
          <w:trHeight w:val="277"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rFonts w:ascii="Calibri" w:hAnsi="Calibri" w:cs="Calibri" w:eastAsia="Calibri"/>
                <w:color w:val="auto"/>
                <w:spacing w:val="0"/>
                <w:position w:val="0"/>
                <w:sz w:val="22"/>
                <w:shd w:fill="auto" w:val="clear"/>
              </w:rPr>
            </w:pP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rFonts w:ascii="Calibri" w:hAnsi="Calibri" w:cs="Calibri" w:eastAsia="Calibri"/>
                <w:color w:val="auto"/>
                <w:spacing w:val="0"/>
                <w:position w:val="0"/>
                <w:sz w:val="22"/>
                <w:shd w:fill="auto" w:val="clear"/>
              </w:rPr>
            </w:pPr>
          </w:p>
        </w:tc>
      </w:tr>
    </w:tbl>
    <w:p>
      <w:pPr>
        <w:spacing w:before="0" w:after="3" w:line="265"/>
        <w:ind w:right="0" w:left="0" w:firstLine="0"/>
        <w:jc w:val="both"/>
        <w:rPr>
          <w:rFonts w:ascii="Arial" w:hAnsi="Arial" w:cs="Arial" w:eastAsia="Arial"/>
          <w:color w:val="000000"/>
          <w:spacing w:val="0"/>
          <w:position w:val="0"/>
          <w:sz w:val="20"/>
          <w:shd w:fill="auto" w:val="clear"/>
        </w:rPr>
      </w:pPr>
    </w:p>
    <w:tbl>
      <w:tblPr/>
      <w:tblGrid>
        <w:gridCol w:w="5024"/>
        <w:gridCol w:w="1528"/>
        <w:gridCol w:w="1935"/>
        <w:gridCol w:w="3025"/>
      </w:tblGrid>
      <w:tr>
        <w:trPr>
          <w:trHeight w:val="412" w:hRule="auto"/>
          <w:jc w:val="left"/>
        </w:trPr>
        <w:tc>
          <w:tcPr>
            <w:tcW w:w="5024"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center"/>
          </w:tcPr>
          <w:p>
            <w:pPr>
              <w:tabs>
                <w:tab w:val="center" w:pos="1834" w:leader="none"/>
              </w:tabs>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w:t>
            </w:r>
          </w:p>
          <w:p>
            <w:pPr>
              <w:tabs>
                <w:tab w:val="center" w:pos="1834" w:leader="none"/>
              </w:tabs>
              <w:spacing w:before="0" w:after="0" w:line="259"/>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Ed</w:t>
            </w:r>
            <w:r>
              <w:rPr>
                <w:rFonts w:ascii="Arial" w:hAnsi="Arial" w:cs="Arial" w:eastAsia="Arial"/>
                <w:color w:val="000000"/>
                <w:spacing w:val="0"/>
                <w:position w:val="0"/>
                <w:sz w:val="16"/>
                <w:shd w:fill="auto" w:val="clear"/>
              </w:rPr>
              <w:t xml:space="preserve">ité le :</w:t>
              <w:tab/>
              <w:t xml:space="preserve">13/06/2023</w:t>
            </w:r>
          </w:p>
        </w:tc>
        <w:tc>
          <w:tcPr>
            <w:tcW w:w="3463" w:type="dxa"/>
            <w:gridSpan w:val="2"/>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0" w:line="259"/>
              <w:ind w:right="0" w:left="562" w:firstLine="0"/>
              <w:jc w:val="left"/>
              <w:rPr>
                <w:spacing w:val="0"/>
                <w:position w:val="0"/>
                <w:shd w:fill="auto" w:val="clear"/>
              </w:rPr>
            </w:pPr>
            <w:r>
              <w:rPr>
                <w:rFonts w:ascii="Arial" w:hAnsi="Arial" w:cs="Arial" w:eastAsia="Arial"/>
                <w:color w:val="000000"/>
                <w:spacing w:val="0"/>
                <w:position w:val="0"/>
                <w:sz w:val="16"/>
                <w:shd w:fill="auto" w:val="clear"/>
              </w:rPr>
              <w:t xml:space="preserve">Cuberdon 7%</w:t>
            </w:r>
          </w:p>
        </w:tc>
        <w:tc>
          <w:tcPr>
            <w:tcW w:w="3025"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center"/>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13/06/2023</w:t>
            </w:r>
          </w:p>
        </w:tc>
      </w:tr>
      <w:tr>
        <w:trPr>
          <w:trHeight w:val="512" w:hRule="auto"/>
          <w:jc w:val="left"/>
        </w:trPr>
        <w:tc>
          <w:tcPr>
            <w:tcW w:w="11512" w:type="dxa"/>
            <w:gridSpan w:val="4"/>
            <w:tcBorders>
              <w:top w:val="single" w:color="000000" w:sz="0"/>
              <w:left w:val="single" w:color="000000" w:sz="0"/>
              <w:bottom w:val="single" w:color="000000" w:sz="0"/>
              <w:right w:val="single" w:color="000000" w:sz="0"/>
            </w:tcBorders>
            <w:shd w:color="auto" w:fill="ffffff" w:val="clear"/>
            <w:tcMar>
              <w:left w:w="26" w:type="dxa"/>
              <w:right w:w="26" w:type="dxa"/>
            </w:tcMar>
            <w:vAlign w:val="top"/>
          </w:tcPr>
          <w:p>
            <w:pPr>
              <w:spacing w:before="0" w:after="0" w:line="259"/>
              <w:ind w:right="0" w:left="0" w:firstLine="0"/>
              <w:jc w:val="both"/>
              <w:rPr>
                <w:rFonts w:ascii="Calibri" w:hAnsi="Calibri" w:cs="Calibri" w:eastAsia="Calibri"/>
                <w:color w:val="auto"/>
                <w:spacing w:val="0"/>
                <w:position w:val="0"/>
                <w:sz w:val="22"/>
                <w:shd w:fill="auto" w:val="clear"/>
              </w:rPr>
            </w:pPr>
          </w:p>
        </w:tc>
      </w:tr>
      <w:tr>
        <w:trPr>
          <w:trHeight w:val="277" w:hRule="auto"/>
          <w:jc w:val="left"/>
        </w:trPr>
        <w:tc>
          <w:tcPr>
            <w:tcW w:w="50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Viscosité cinématique (mm²/s) :</w:t>
            </w:r>
          </w:p>
        </w:tc>
        <w:tc>
          <w:tcPr>
            <w:tcW w:w="1528"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both"/>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512" w:hRule="auto"/>
          <w:jc w:val="left"/>
        </w:trPr>
        <w:tc>
          <w:tcPr>
            <w:tcW w:w="11512" w:type="dxa"/>
            <w:gridSpan w:val="4"/>
            <w:tcBorders>
              <w:top w:val="single" w:color="000000" w:sz="0"/>
              <w:left w:val="single" w:color="000000" w:sz="0"/>
              <w:bottom w:val="single" w:color="000000" w:sz="0"/>
              <w:right w:val="single" w:color="000000" w:sz="0"/>
            </w:tcBorders>
            <w:shd w:color="auto" w:fill="ffffff" w:val="clear"/>
            <w:tcMar>
              <w:left w:w="26" w:type="dxa"/>
              <w:right w:w="26" w:type="dxa"/>
            </w:tcMar>
            <w:vAlign w:val="top"/>
          </w:tcPr>
          <w:p>
            <w:pPr>
              <w:spacing w:before="0" w:after="3" w:line="265"/>
              <w:ind w:right="0" w:left="0" w:firstLine="0"/>
              <w:jc w:val="both"/>
              <w:rPr>
                <w:rFonts w:ascii="Calibri" w:hAnsi="Calibri" w:cs="Calibri" w:eastAsia="Calibri"/>
                <w:color w:val="auto"/>
                <w:spacing w:val="0"/>
                <w:position w:val="0"/>
                <w:sz w:val="22"/>
                <w:shd w:fill="auto" w:val="clear"/>
              </w:rPr>
            </w:pPr>
          </w:p>
        </w:tc>
      </w:tr>
      <w:tr>
        <w:trPr>
          <w:trHeight w:val="896" w:hRule="auto"/>
          <w:jc w:val="left"/>
        </w:trPr>
        <w:tc>
          <w:tcPr>
            <w:tcW w:w="5024"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97"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Solubilité (@20°C) :</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3463" w:type="dxa"/>
            <w:gridSpan w:val="2"/>
            <w:tcBorders>
              <w:top w:val="single" w:color="000000" w:sz="0"/>
              <w:left w:val="single" w:color="000000" w:sz="0"/>
              <w:bottom w:val="single" w:color="000000" w:sz="0"/>
              <w:right w:val="single" w:color="000000" w:sz="0"/>
            </w:tcBorders>
            <w:shd w:color="000000" w:fill="ffffff" w:val="clear"/>
            <w:tcMar>
              <w:left w:w="26" w:type="dxa"/>
              <w:right w:w="26" w:type="dxa"/>
            </w:tcMar>
            <w:vAlign w:val="bottom"/>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c>
          <w:tcPr>
            <w:tcW w:w="3025"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35" w:hRule="auto"/>
          <w:jc w:val="left"/>
        </w:trPr>
        <w:tc>
          <w:tcPr>
            <w:tcW w:w="5024"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Pression de vapeur (mmHg @20°C) :</w:t>
            </w:r>
          </w:p>
        </w:tc>
        <w:tc>
          <w:tcPr>
            <w:tcW w:w="3463" w:type="dxa"/>
            <w:gridSpan w:val="2"/>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887" w:hRule="auto"/>
          <w:jc w:val="left"/>
        </w:trPr>
        <w:tc>
          <w:tcPr>
            <w:tcW w:w="5024"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120" w:line="240"/>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Densité et/ou densité relative (@20° C-1 atm.) :</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3463" w:type="dxa"/>
            <w:gridSpan w:val="2"/>
            <w:tcBorders>
              <w:top w:val="single" w:color="000000" w:sz="0"/>
              <w:left w:val="single" w:color="000000" w:sz="0"/>
              <w:bottom w:val="single" w:color="000000" w:sz="0"/>
              <w:right w:val="single" w:color="000000" w:sz="0"/>
            </w:tcBorders>
            <w:shd w:color="000000" w:fill="ffffff" w:val="clear"/>
            <w:tcMar>
              <w:left w:w="26" w:type="dxa"/>
              <w:right w:w="26" w:type="dxa"/>
            </w:tcMar>
            <w:vAlign w:val="bottom"/>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c>
          <w:tcPr>
            <w:tcW w:w="3025"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1316" w:hRule="auto"/>
          <w:jc w:val="left"/>
        </w:trPr>
        <w:tc>
          <w:tcPr>
            <w:tcW w:w="5024"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289" w:line="259"/>
              <w:ind w:right="0" w:left="56"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Caractéristiques des particules :</w:t>
            </w:r>
          </w:p>
          <w:p>
            <w:pPr>
              <w:spacing w:before="0" w:after="163" w:line="259"/>
              <w:ind w:right="0" w:left="793"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0" w:line="259"/>
              <w:ind w:right="0" w:left="56" w:firstLine="0"/>
              <w:jc w:val="left"/>
              <w:rPr>
                <w:spacing w:val="0"/>
                <w:position w:val="0"/>
                <w:shd w:fill="auto" w:val="clear"/>
              </w:rPr>
            </w:pPr>
            <w:r>
              <w:rPr>
                <w:rFonts w:ascii="Tahoma" w:hAnsi="Tahoma" w:cs="Tahoma" w:eastAsia="Tahoma"/>
                <w:color w:val="000000"/>
                <w:spacing w:val="0"/>
                <w:position w:val="0"/>
                <w:sz w:val="18"/>
                <w:shd w:fill="auto" w:val="clear"/>
              </w:rPr>
              <w:t xml:space="preserve">Indice de réfraction (@20°C) :</w:t>
            </w:r>
          </w:p>
        </w:tc>
        <w:tc>
          <w:tcPr>
            <w:tcW w:w="3463" w:type="dxa"/>
            <w:gridSpan w:val="2"/>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(liquide)</w:t>
            </w:r>
          </w:p>
        </w:tc>
        <w:tc>
          <w:tcPr>
            <w:tcW w:w="3025" w:type="dxa"/>
            <w:tcBorders>
              <w:top w:val="single" w:color="000000" w:sz="0"/>
              <w:left w:val="single" w:color="000000" w:sz="0"/>
              <w:bottom w:val="single" w:color="000000" w:sz="0"/>
              <w:right w:val="single" w:color="000000" w:sz="0"/>
            </w:tcBorders>
            <w:shd w:color="000000" w:fill="ffffff"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356" w:hRule="auto"/>
          <w:jc w:val="left"/>
        </w:trPr>
        <w:tc>
          <w:tcPr>
            <w:tcW w:w="8487" w:type="dxa"/>
            <w:gridSpan w:val="3"/>
            <w:tcBorders>
              <w:top w:val="single" w:color="000000" w:sz="0"/>
              <w:left w:val="single" w:color="000000" w:sz="0"/>
              <w:bottom w:val="single" w:color="000000" w:sz="0"/>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10: STABILITE ET REACTIVITE</w:t>
            </w:r>
          </w:p>
        </w:tc>
        <w:tc>
          <w:tcPr>
            <w:tcW w:w="3025" w:type="dxa"/>
            <w:tcBorders>
              <w:top w:val="single" w:color="000000" w:sz="0"/>
              <w:left w:val="single" w:color="000000" w:sz="0"/>
              <w:bottom w:val="single" w:color="000000" w:sz="0"/>
              <w:right w:val="single" w:color="000000" w:sz="0"/>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676"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701"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77" w:line="265"/>
        <w:ind w:right="118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2" w:line="265"/>
        <w:ind w:right="5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542" w:line="427"/>
        <w:ind w:right="5998"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37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41"/>
        <w:ind w:right="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415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18"/>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 voir section 2</w:t>
      </w:r>
    </w:p>
    <w:p>
      <w:pPr>
        <w:numPr>
          <w:ilvl w:val="0"/>
          <w:numId w:val="218"/>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 voir section 2</w:t>
      </w:r>
    </w:p>
    <w:p>
      <w:pPr>
        <w:numPr>
          <w:ilvl w:val="0"/>
          <w:numId w:val="218"/>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 voir section 2</w:t>
      </w:r>
    </w:p>
    <w:p>
      <w:pPr>
        <w:numPr>
          <w:ilvl w:val="0"/>
          <w:numId w:val="218"/>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 voir section 2</w:t>
      </w:r>
    </w:p>
    <w:p>
      <w:pPr>
        <w:numPr>
          <w:ilvl w:val="0"/>
          <w:numId w:val="218"/>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 voir section 2</w:t>
      </w:r>
    </w:p>
    <w:p>
      <w:pPr>
        <w:numPr>
          <w:ilvl w:val="0"/>
          <w:numId w:val="218"/>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 voir section 2</w:t>
      </w:r>
    </w:p>
    <w:p>
      <w:pPr>
        <w:numPr>
          <w:ilvl w:val="0"/>
          <w:numId w:val="218"/>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18"/>
        </w:numPr>
        <w:spacing w:before="0" w:after="193"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 voir section 2</w:t>
      </w:r>
    </w:p>
    <w:p>
      <w:pPr>
        <w:numPr>
          <w:ilvl w:val="0"/>
          <w:numId w:val="218"/>
        </w:numPr>
        <w:spacing w:before="0" w:after="922" w:line="265"/>
        <w:ind w:right="5986" w:left="1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 voir section 2</w:t>
      </w:r>
    </w:p>
    <w:p>
      <w:pPr>
        <w:spacing w:before="0" w:after="33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21"/>
        </w:numPr>
        <w:spacing w:before="0" w:after="193" w:line="265"/>
        <w:ind w:right="5987"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21"/>
        </w:numPr>
        <w:spacing w:before="0" w:after="3" w:line="265"/>
        <w:ind w:right="5987"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701"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542" w:line="427"/>
        <w:ind w:right="5836"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540" w:line="427"/>
        <w:ind w:right="5747"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 Pas de données à ce jour.</w:t>
      </w:r>
    </w:p>
    <w:p>
      <w:pPr>
        <w:spacing w:before="0" w:after="542" w:line="427"/>
        <w:ind w:right="6601"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542" w:line="427"/>
        <w:ind w:right="484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33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w:t>
      </w:r>
    </w:p>
    <w:p>
      <w:pPr>
        <w:spacing w:before="0" w:after="698"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données à ce jour.</w:t>
      </w:r>
    </w:p>
    <w:p>
      <w:pPr>
        <w:spacing w:before="0" w:after="612" w:line="427"/>
        <w:ind w:right="637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12.7. Autres effets néfastes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13: CONSIDERATIONS RELATIVES A L'ELIMINATION</w:t>
      </w:r>
    </w:p>
    <w:p>
      <w:pPr>
        <w:spacing w:before="0" w:after="15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56"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702" w:line="265"/>
        <w:ind w:right="1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ADR/ADN/RID : NON REGLEMENTE</w:t>
      </w:r>
    </w:p>
    <w:p>
      <w:pPr>
        <w:spacing w:before="0" w:after="116" w:line="265"/>
        <w:ind w:right="7296"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IMDG:NON REGLEMENTE IATA :NON REGLEMENTE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81"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ADR/ADN/RID : NON REGLEMENTE</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IMDG:NON REGLEMENTE</w:t>
      </w:r>
    </w:p>
    <w:p>
      <w:pPr>
        <w:spacing w:before="0" w:after="307"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IATA :NON REGLEMENTE</w:t>
      </w:r>
    </w:p>
    <w:p>
      <w:pPr>
        <w:spacing w:before="0" w:after="13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ADR/ADN/RID : NON REGLEMENTE</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IMDG:NON REGLEMENTE</w:t>
      </w:r>
    </w:p>
    <w:p>
      <w:pPr>
        <w:spacing w:before="0" w:after="310"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IATA :NON REGLEMENTE</w:t>
      </w:r>
    </w:p>
    <w:p>
      <w:pPr>
        <w:spacing w:before="0" w:after="136"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ADR/ADN/RID : NON REGLEMENTE</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IMDG:NON REGLEMENTE</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IATA :NON REGLEMENTE</w:t>
      </w:r>
    </w:p>
    <w:p>
      <w:pPr>
        <w:spacing w:before="0" w:after="13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07"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IMDG : NON REGLEMENTE</w:t>
      </w:r>
    </w:p>
    <w:p>
      <w:pPr>
        <w:spacing w:before="0" w:after="13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07"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NON CONCERNE</w:t>
      </w:r>
    </w:p>
    <w:p>
      <w:pPr>
        <w:spacing w:before="0" w:after="139"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75"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2"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8" w:line="248"/>
        <w:ind w:right="312" w:left="-5" w:hanging="10"/>
        <w:jc w:val="both"/>
        <w:rPr>
          <w:rFonts w:ascii="Arial" w:hAnsi="Arial" w:cs="Arial" w:eastAsia="Arial"/>
          <w:color w:val="000000"/>
          <w:spacing w:val="0"/>
          <w:position w:val="0"/>
          <w:sz w:val="20"/>
          <w:shd w:fill="auto" w:val="clear"/>
        </w:rPr>
      </w:pPr>
      <w:r>
        <w:rPr>
          <w:rFonts w:ascii="Verdana" w:hAnsi="Verdana" w:cs="Verdana" w:eastAsia="Verdana"/>
          <w:color w:val="000000"/>
          <w:spacing w:val="0"/>
          <w:position w:val="0"/>
          <w:sz w:val="17"/>
          <w:shd w:fill="auto" w:val="clear"/>
        </w:rPr>
        <w:t xml:space="preserve">Règlements de l'UE:</w:t>
      </w:r>
    </w:p>
    <w:p>
      <w:pPr>
        <w:spacing w:before="0" w:after="196" w:line="248"/>
        <w:ind w:right="312" w:left="-5" w:hanging="10"/>
        <w:jc w:val="both"/>
        <w:rPr>
          <w:rFonts w:ascii="Arial" w:hAnsi="Arial" w:cs="Arial" w:eastAsia="Arial"/>
          <w:color w:val="000000"/>
          <w:spacing w:val="0"/>
          <w:position w:val="0"/>
          <w:sz w:val="20"/>
          <w:shd w:fill="auto" w:val="clear"/>
        </w:rPr>
      </w:pPr>
      <w:r>
        <w:rPr>
          <w:rFonts w:ascii="Verdana" w:hAnsi="Verdana" w:cs="Verdana" w:eastAsia="Verdana"/>
          <w:color w:val="000000"/>
          <w:spacing w:val="0"/>
          <w:position w:val="0"/>
          <w:sz w:val="17"/>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6" w:line="248"/>
        <w:ind w:right="312" w:left="-5" w:hanging="10"/>
        <w:jc w:val="both"/>
        <w:rPr>
          <w:rFonts w:ascii="Arial" w:hAnsi="Arial" w:cs="Arial" w:eastAsia="Arial"/>
          <w:color w:val="000000"/>
          <w:spacing w:val="0"/>
          <w:position w:val="0"/>
          <w:sz w:val="20"/>
          <w:shd w:fill="auto" w:val="clear"/>
        </w:rPr>
      </w:pPr>
      <w:r>
        <w:rPr>
          <w:rFonts w:ascii="Verdana" w:hAnsi="Verdana" w:cs="Verdana" w:eastAsia="Verdana"/>
          <w:color w:val="000000"/>
          <w:spacing w:val="0"/>
          <w:position w:val="0"/>
          <w:sz w:val="17"/>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196" w:line="248"/>
        <w:ind w:right="312" w:left="-5" w:hanging="10"/>
        <w:jc w:val="both"/>
        <w:rPr>
          <w:rFonts w:ascii="Arial" w:hAnsi="Arial" w:cs="Arial" w:eastAsia="Arial"/>
          <w:color w:val="000000"/>
          <w:spacing w:val="0"/>
          <w:position w:val="0"/>
          <w:sz w:val="20"/>
          <w:shd w:fill="auto" w:val="clear"/>
        </w:rPr>
      </w:pPr>
      <w:r>
        <w:rPr>
          <w:rFonts w:ascii="Verdana" w:hAnsi="Verdana" w:cs="Verdana" w:eastAsia="Verdana"/>
          <w:color w:val="000000"/>
          <w:spacing w:val="0"/>
          <w:position w:val="0"/>
          <w:sz w:val="17"/>
          <w:shd w:fill="auto" w:val="clear"/>
        </w:rPr>
        <w:t xml:space="preserve">RÈGLEMENT (UE) 2020/878 DE LA COMMISSION du 18 juin 2020 modifiant l’annexe II du règlement (CE) no 1907/2006 du Parlement européen et du Conseil concernant l’enregistrement, l’évaluation et l’autorisation des substances chimiques, ainsi que les restrictions applicables à ces substances (REACH).</w:t>
      </w:r>
    </w:p>
    <w:p>
      <w:pPr>
        <w:spacing w:before="0" w:after="8" w:line="248"/>
        <w:ind w:right="312" w:left="-5" w:hanging="10"/>
        <w:jc w:val="both"/>
        <w:rPr>
          <w:rFonts w:ascii="Arial" w:hAnsi="Arial" w:cs="Arial" w:eastAsia="Arial"/>
          <w:color w:val="000000"/>
          <w:spacing w:val="0"/>
          <w:position w:val="0"/>
          <w:sz w:val="20"/>
          <w:shd w:fill="auto" w:val="clear"/>
        </w:rPr>
      </w:pPr>
      <w:r>
        <w:rPr>
          <w:rFonts w:ascii="Verdana" w:hAnsi="Verdana" w:cs="Verdana" w:eastAsia="Verdana"/>
          <w:color w:val="000000"/>
          <w:spacing w:val="0"/>
          <w:position w:val="0"/>
          <w:sz w:val="17"/>
          <w:shd w:fill="auto" w:val="clear"/>
        </w:rPr>
        <w:t xml:space="preserve">Autre législation de l'UE: </w:t>
      </w:r>
    </w:p>
    <w:p>
      <w:pPr>
        <w:spacing w:before="0" w:after="712" w:line="248"/>
        <w:ind w:right="312" w:left="-5" w:hanging="10"/>
        <w:jc w:val="both"/>
        <w:rPr>
          <w:rFonts w:ascii="Arial" w:hAnsi="Arial" w:cs="Arial" w:eastAsia="Arial"/>
          <w:color w:val="000000"/>
          <w:spacing w:val="0"/>
          <w:position w:val="0"/>
          <w:sz w:val="20"/>
          <w:shd w:fill="auto" w:val="clear"/>
        </w:rPr>
      </w:pPr>
      <w:r>
        <w:rPr>
          <w:rFonts w:ascii="Verdana" w:hAnsi="Verdana" w:cs="Verdana" w:eastAsia="Verdana"/>
          <w:color w:val="000000"/>
          <w:spacing w:val="0"/>
          <w:position w:val="0"/>
          <w:sz w:val="17"/>
          <w:shd w:fill="auto" w:val="clear"/>
        </w:rPr>
        <w:t xml:space="preserve">DIRECTIVE 2008/98/CE DU PARLEMENT EUROPÉEN ET DU CONSEIL du 19 novembre 2008 relative aux déchets et abrogeant certaines directives.</w:t>
      </w:r>
    </w:p>
    <w:p>
      <w:pPr>
        <w:spacing w:before="0" w:after="153" w:line="265"/>
        <w:ind w:right="0"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9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39"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103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94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71">
    <w:abstractNumId w:val="12"/>
  </w:num>
  <w:num w:numId="218">
    <w:abstractNumId w:val="6"/>
  </w:num>
  <w:num w:numId="22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