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3"/>
          <w:shd w:fill="auto" w:val="clear"/>
        </w:rPr>
      </w:pPr>
    </w:p>
    <w:p>
      <w:pPr>
        <w:widowControl w:val="false"/>
        <w:tabs>
          <w:tab w:val="left" w:pos="56" w:leader="none"/>
          <w:tab w:val="right" w:pos="12217"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LIBREVISION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9"/>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D49C14"/>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tbl>
      <w:tblPr>
        <w:tblInd w:w="123" w:type="dxa"/>
      </w:tblPr>
      <w:tblGrid>
        <w:gridCol w:w="9637"/>
      </w:tblGrid>
      <w:tr>
        <w:trPr>
          <w:trHeight w:val="490" w:hRule="auto"/>
          <w:jc w:val="left"/>
        </w:trPr>
        <w:tc>
          <w:tcPr>
            <w:tcW w:w="9637" w:type="dxa"/>
            <w:tcBorders>
              <w:top w:val="single" w:color="000000" w:sz="6"/>
              <w:left w:val="single" w:color="000000" w:sz="6"/>
              <w:bottom w:val="single" w:color="000000" w:sz="6"/>
              <w:right w:val="single" w:color="000000" w:sz="6"/>
            </w:tcBorders>
            <w:shd w:color="auto" w:fill="d49c14" w:val="clear"/>
            <w:tcMar>
              <w:left w:w="108" w:type="dxa"/>
              <w:right w:w="108"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32"/>
                <w:shd w:fill="auto" w:val="clear"/>
              </w:rPr>
              <w:t xml:space="preserve">CUPIDON 10%</w:t>
            </w:r>
          </w:p>
        </w:tc>
      </w:tr>
    </w:tbl>
    <w:p>
      <w:pPr>
        <w:widowControl w:val="false"/>
        <w:suppressAutoHyphens w:val="true"/>
        <w:spacing w:before="0" w:after="0" w:line="256"/>
        <w:ind w:right="0" w:left="0" w:firstLine="0"/>
        <w:jc w:val="left"/>
        <w:rPr>
          <w:rFonts w:ascii="Arial" w:hAnsi="Arial" w:cs="Arial" w:eastAsia="Arial"/>
          <w:b/>
          <w:color w:val="073D48"/>
          <w:spacing w:val="0"/>
          <w:position w:val="0"/>
          <w:sz w:val="12"/>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 IDENTIFICATION DE LA SUBSTANCE/DU MELANGE ET DE LA SOCIETE/L'ENTREPRISE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1.1. Identificateur de produit</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MS Shell Dlg" w:hAnsi="MS Shell Dlg" w:cs="MS Shell Dlg" w:eastAsia="MS Shell Dlg"/>
          <w:color w:val="073D48"/>
          <w:spacing w:val="0"/>
          <w:position w:val="0"/>
          <w:sz w:val="17"/>
          <w:shd w:fill="auto" w:val="clear"/>
        </w:rPr>
        <w:t xml:space="preserve">CUPIDON 10%</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Verdana" w:hAnsi="Verdana" w:cs="Verdana" w:eastAsia="Verdana"/>
          <w:color w:val="073D48"/>
          <w:spacing w:val="0"/>
          <w:position w:val="0"/>
          <w:sz w:val="17"/>
          <w:shd w:fill="auto" w:val="clear"/>
        </w:rPr>
        <w:t xml:space="preserve">U.F.I. </w:t>
        <w:tab/>
        <w:t xml:space="preserve">: OUI</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Verdana" w:hAnsi="Verdana" w:cs="Verdana" w:eastAsia="Verdana"/>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Verdana" w:hAnsi="Verdana" w:cs="Verdana" w:eastAsia="Verdana"/>
          <w:color w:val="073D48"/>
          <w:spacing w:val="0"/>
          <w:position w:val="0"/>
          <w:sz w:val="20"/>
          <w:shd w:fill="auto" w:val="clear"/>
        </w:rPr>
        <w:t xml:space="preserve">Usage</w:t>
        <w:tab/>
        <w:t xml:space="preserve">: composition parfumante pour parfums, fondants et diffuseurs.</w:t>
      </w:r>
    </w:p>
    <w:p>
      <w:pPr>
        <w:widowControl w:val="false"/>
        <w:suppressAutoHyphens w:val="true"/>
        <w:spacing w:before="0" w:after="0" w:line="256"/>
        <w:ind w:right="0" w:left="0" w:firstLine="0"/>
        <w:jc w:val="both"/>
        <w:rPr>
          <w:rFonts w:ascii="Verdana" w:hAnsi="Verdana" w:cs="Verdana" w:eastAsia="Verdana"/>
          <w:color w:val="073D48"/>
          <w:spacing w:val="0"/>
          <w:position w:val="0"/>
          <w:sz w:val="20"/>
          <w:shd w:fill="auto" w:val="clear"/>
        </w:rPr>
      </w:pP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w:t>
      </w:r>
      <w:r>
        <w:rPr>
          <w:rFonts w:ascii="Verdana" w:hAnsi="Verdana" w:cs="Verdana" w:eastAsia="Verdana"/>
          <w:color w:val="073D48"/>
          <w:spacing w:val="0"/>
          <w:position w:val="0"/>
          <w:sz w:val="20"/>
          <w:shd w:fill="auto" w:val="clear"/>
        </w:rPr>
        <w:t xml:space="preserve"> N'est pas destiné à l'usage personnel sous cette forme ou cette concentration.</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20"/>
          <w:shd w:fill="auto" w:val="clear"/>
        </w:rPr>
        <w:t xml:space="preserve">Pour de plus amples informations, se référer à la fiche technique du produit.</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1.3. Renseignements concernant le fournisseur de la 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160" w:line="256"/>
        <w:ind w:right="0" w:left="0" w:firstLine="0"/>
        <w:jc w:val="left"/>
        <w:rPr>
          <w:rFonts w:ascii="Calibri" w:hAnsi="Calibri" w:cs="Calibri" w:eastAsia="Calibri"/>
          <w:b/>
          <w:color w:val="073D48"/>
          <w:spacing w:val="0"/>
          <w:position w:val="0"/>
          <w:sz w:val="22"/>
          <w:shd w:fill="auto" w:val="clear"/>
        </w:rPr>
      </w:pPr>
      <w:r>
        <w:rPr>
          <w:rFonts w:ascii="Calibri" w:hAnsi="Calibri" w:cs="Calibri" w:eastAsia="Calibri"/>
          <w:b/>
          <w:color w:val="073D48"/>
          <w:spacing w:val="0"/>
          <w:position w:val="0"/>
          <w:sz w:val="22"/>
          <w:shd w:fill="auto" w:val="clear"/>
        </w:rPr>
        <w:t xml:space="preserve">Fabricant :</w:t>
      </w:r>
    </w:p>
    <w:p>
      <w:pPr>
        <w:widowControl w:val="false"/>
        <w:suppressAutoHyphens w:val="true"/>
        <w:spacing w:before="0" w:after="160" w:line="256"/>
        <w:ind w:right="0" w:left="0" w:firstLine="0"/>
        <w:jc w:val="left"/>
        <w:rPr>
          <w:rFonts w:ascii="Calibri" w:hAnsi="Calibri" w:cs="Calibri" w:eastAsia="Calibri"/>
          <w:color w:val="073D48"/>
          <w:spacing w:val="0"/>
          <w:position w:val="0"/>
          <w:sz w:val="22"/>
          <w:shd w:fill="auto" w:val="clear"/>
        </w:rPr>
      </w:pPr>
      <w:r>
        <w:rPr>
          <w:rFonts w:ascii="Calibri" w:hAnsi="Calibri" w:cs="Calibri" w:eastAsia="Calibri"/>
          <w:color w:val="073D48"/>
          <w:spacing w:val="0"/>
          <w:position w:val="0"/>
          <w:sz w:val="22"/>
          <w:shd w:fill="auto" w:val="clear"/>
        </w:rPr>
        <w:t xml:space="preserve">[Nom de votre société]</w:t>
      </w:r>
    </w:p>
    <w:p>
      <w:pPr>
        <w:widowControl w:val="false"/>
        <w:suppressAutoHyphens w:val="true"/>
        <w:spacing w:before="0" w:after="160" w:line="256"/>
        <w:ind w:right="0" w:left="0" w:firstLine="0"/>
        <w:jc w:val="left"/>
        <w:rPr>
          <w:rFonts w:ascii="Calibri" w:hAnsi="Calibri" w:cs="Calibri" w:eastAsia="Calibri"/>
          <w:color w:val="073D48"/>
          <w:spacing w:val="0"/>
          <w:position w:val="0"/>
          <w:sz w:val="22"/>
          <w:shd w:fill="auto" w:val="clear"/>
        </w:rPr>
      </w:pPr>
      <w:r>
        <w:rPr>
          <w:rFonts w:ascii="Calibri" w:hAnsi="Calibri" w:cs="Calibri" w:eastAsia="Calibri"/>
          <w:color w:val="073D48"/>
          <w:spacing w:val="0"/>
          <w:position w:val="0"/>
          <w:sz w:val="22"/>
          <w:shd w:fill="auto" w:val="clear"/>
        </w:rPr>
        <w:t xml:space="preserve">[Adresse]</w:t>
      </w:r>
    </w:p>
    <w:p>
      <w:pPr>
        <w:widowControl w:val="false"/>
        <w:suppressAutoHyphens w:val="true"/>
        <w:spacing w:before="0" w:after="160" w:line="256"/>
        <w:ind w:right="0" w:left="0" w:firstLine="0"/>
        <w:jc w:val="left"/>
        <w:rPr>
          <w:rFonts w:ascii="Calibri" w:hAnsi="Calibri" w:cs="Calibri" w:eastAsia="Calibri"/>
          <w:color w:val="073D48"/>
          <w:spacing w:val="0"/>
          <w:position w:val="0"/>
          <w:sz w:val="22"/>
          <w:shd w:fill="auto" w:val="clear"/>
        </w:rPr>
      </w:pPr>
      <w:r>
        <w:rPr>
          <w:rFonts w:ascii="Calibri" w:hAnsi="Calibri" w:cs="Calibri" w:eastAsia="Calibri"/>
          <w:color w:val="073D48"/>
          <w:spacing w:val="0"/>
          <w:position w:val="0"/>
          <w:sz w:val="22"/>
          <w:shd w:fill="auto" w:val="clear"/>
        </w:rPr>
        <w:t xml:space="preserve">[Pays]</w:t>
      </w:r>
    </w:p>
    <w:p>
      <w:pPr>
        <w:widowControl w:val="false"/>
        <w:suppressAutoHyphens w:val="true"/>
        <w:spacing w:before="0" w:after="160" w:line="256"/>
        <w:ind w:right="0" w:left="0" w:firstLine="0"/>
        <w:jc w:val="left"/>
        <w:rPr>
          <w:rFonts w:ascii="Calibri" w:hAnsi="Calibri" w:cs="Calibri" w:eastAsia="Calibri"/>
          <w:color w:val="073D48"/>
          <w:spacing w:val="0"/>
          <w:position w:val="0"/>
          <w:sz w:val="22"/>
          <w:shd w:fill="auto" w:val="clear"/>
        </w:rPr>
      </w:pPr>
      <w:r>
        <w:rPr>
          <w:rFonts w:ascii="Calibri" w:hAnsi="Calibri" w:cs="Calibri" w:eastAsia="Calibri"/>
          <w:color w:val="073D48"/>
          <w:spacing w:val="0"/>
          <w:position w:val="0"/>
          <w:sz w:val="22"/>
          <w:shd w:fill="auto" w:val="clear"/>
        </w:rPr>
        <w:t xml:space="preserve">[Téléphone]</w:t>
      </w:r>
    </w:p>
    <w:p>
      <w:pPr>
        <w:widowControl w:val="false"/>
        <w:suppressAutoHyphens w:val="true"/>
        <w:spacing w:before="0" w:after="160" w:line="256"/>
        <w:ind w:right="0" w:left="0" w:firstLine="0"/>
        <w:jc w:val="left"/>
        <w:rPr>
          <w:rFonts w:ascii="Calibri" w:hAnsi="Calibri" w:cs="Calibri" w:eastAsia="Calibri"/>
          <w:color w:val="073D48"/>
          <w:spacing w:val="0"/>
          <w:position w:val="0"/>
          <w:sz w:val="22"/>
          <w:shd w:fill="auto" w:val="clear"/>
        </w:rPr>
      </w:pPr>
      <w:r>
        <w:rPr>
          <w:rFonts w:ascii="Calibri" w:hAnsi="Calibri" w:cs="Calibri" w:eastAsia="Calibri"/>
          <w:color w:val="073D48"/>
          <w:spacing w:val="0"/>
          <w:position w:val="0"/>
          <w:sz w:val="22"/>
          <w:shd w:fill="auto" w:val="clear"/>
        </w:rPr>
        <w:t xml:space="preserve">[Mail]</w:t>
      </w: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 Numéro d'appel d'urgence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i/>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i/>
          <w:color w:val="073D48"/>
          <w:spacing w:val="0"/>
          <w:position w:val="0"/>
          <w:sz w:val="20"/>
          <w:shd w:fill="auto" w:val="clear"/>
        </w:rPr>
        <w:t xml:space="preserve">Téléphone en cas d’urgence (à utiliser par le médecin traitant) : </w:t>
      </w:r>
    </w:p>
    <w:p>
      <w:pPr>
        <w:widowControl w:val="false"/>
        <w:suppressAutoHyphens w:val="true"/>
        <w:spacing w:before="0" w:after="0" w:line="256"/>
        <w:ind w:right="0" w:left="0" w:firstLine="0"/>
        <w:jc w:val="left"/>
        <w:rPr>
          <w:rFonts w:ascii="Arial" w:hAnsi="Arial" w:cs="Arial" w:eastAsia="Arial"/>
          <w:i/>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widowControl w:val="false"/>
        <w:suppressAutoHyphens w:val="true"/>
        <w:spacing w:before="0" w:after="0" w:line="256"/>
        <w:ind w:right="0" w:left="0" w:firstLine="0"/>
        <w:jc w:val="left"/>
        <w:rPr>
          <w:rFonts w:ascii="Verdana" w:hAnsi="Verdana" w:cs="Verdana" w:eastAsia="Verdana"/>
          <w:color w:val="073D48"/>
          <w:spacing w:val="0"/>
          <w:position w:val="0"/>
          <w:sz w:val="20"/>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2: IDENTIFICATION DES DANGERS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2.1. Classification de la substance ou du mélange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u w:val="single"/>
          <w:shd w:fill="auto" w:val="clear"/>
        </w:rPr>
        <w:t xml:space="preserve">Classification GHS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1/14</w:t>
      </w:r>
      <w:r>
        <w:rPr>
          <w:rFonts w:ascii="Calibri" w:hAnsi="Calibri" w:cs="Calibri" w:eastAsia="Calibri"/>
          <w:color w:val="auto"/>
          <w:spacing w:val="0"/>
          <w:position w:val="0"/>
          <w:sz w:val="22"/>
          <w:shd w:fill="auto" w:val="clear"/>
        </w:rPr>
        <w:t xml:space="preserve"> </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MS Shell Dlg" w:hAnsi="MS Shell Dlg" w:cs="MS Shell Dlg" w:eastAsia="MS Shell Dlg"/>
          <w:color w:val="073D48"/>
          <w:spacing w:val="0"/>
          <w:position w:val="0"/>
          <w:sz w:val="17"/>
          <w:shd w:fill="auto" w:val="clear"/>
        </w:rPr>
        <w:t xml:space="preserve">(LégislationCLP)</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MS Shell Dlg" w:hAnsi="MS Shell Dlg" w:cs="MS Shell Dlg" w:eastAsia="MS Shell Dlg"/>
          <w:color w:val="073D48"/>
          <w:spacing w:val="0"/>
          <w:position w:val="0"/>
          <w:sz w:val="17"/>
          <w:shd w:fill="auto" w:val="clear"/>
        </w:rPr>
        <w:t xml:space="preserve">Aquatic Chronic 3</w:t>
        <w:tab/>
        <w:t xml:space="preserve">Dangers pour le milieu aquatique - toxicité chronique 3</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MS Shell Dlg" w:hAnsi="MS Shell Dlg" w:cs="MS Shell Dlg" w:eastAsia="MS Shell Dlg"/>
          <w:color w:val="073D48"/>
          <w:spacing w:val="0"/>
          <w:position w:val="0"/>
          <w:sz w:val="17"/>
          <w:shd w:fill="auto" w:val="clear"/>
        </w:rPr>
        <w:t xml:space="preserve">Skin Sens. 1</w:t>
        <w:tab/>
        <w:t xml:space="preserve">Sensibilisation cutanée 1</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MS Shell Dlg" w:hAnsi="MS Shell Dlg" w:cs="MS Shell Dlg" w:eastAsia="MS Shell Dlg"/>
          <w:color w:val="073D48"/>
          <w:spacing w:val="0"/>
          <w:position w:val="0"/>
          <w:sz w:val="17"/>
          <w:shd w:fill="auto" w:val="clear"/>
        </w:rPr>
        <w:t xml:space="preserve">H317 - Peut provoquer une allergie cutanée.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MS Shell Dlg" w:hAnsi="MS Shell Dlg" w:cs="MS Shell Dlg" w:eastAsia="MS Shell Dlg"/>
          <w:color w:val="073D48"/>
          <w:spacing w:val="0"/>
          <w:position w:val="0"/>
          <w:sz w:val="17"/>
          <w:shd w:fill="auto" w:val="clear"/>
        </w:rPr>
        <w:t xml:space="preserve">H412 - Nocif pour les organismes aquatiques, entraîne des effets néfastes à long terme.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MS Shell Dlg" w:hAnsi="MS Shell Dlg" w:cs="MS Shell Dlg" w:eastAsia="MS Shell Dlg"/>
          <w:color w:val="073D48"/>
          <w:spacing w:val="0"/>
          <w:position w:val="0"/>
          <w:sz w:val="17"/>
          <w:shd w:fill="auto" w:val="clear"/>
        </w:rPr>
        <w:t xml:space="preserve">EUH208 - Contient benzyl 2-hydroxybenzoate (benzyl salicylate), chromen-2-one (coumarin), 1,1,2,3,3-pentamethyl-2,5,6,7-tetrahydroinden-4-one (cashmeran), (6E)-3,7-dimethylnona-1,6-dien-3-ol (ethyl linalool), [(2E)-3,7-dimethylocta-2,6-dienyl] acetate (geranyl acetate), (2E)-3,7-dimethylocta-2,6-dien-1-ol (geraniol), hexyl 2-hydroxybenzoate (hexyl salicylate), 3,7-dimethylocta-1,6-dien-3-yl acetate (linalyl acetate), reaction products of acetic anhydride and 1,5,10-trimethyl-1,5,9-cyclodecatriene (trimofix), [3R-(3a,3aß,6a,7ß,8aa)]-octahydro-6-methoxy-3,6,8,8-tetramethyl-1H-3a,7-methanoazulene (cedramber), reaction mass of 1-(1,2,3,4,5,6,7,8 and 1-(1,2,3,4,6,7,8,8a and 1-(1,2,3,5,6,7,8,8a-octahydro-2,3,8,8-tetramethyl-2-naphthyl)ethan-1-one (iso e super).</w:t>
      </w:r>
      <w:r>
        <w:rPr>
          <w:rFonts w:ascii="MS Shell Dlg" w:hAnsi="MS Shell Dlg" w:cs="MS Shell Dlg" w:eastAsia="MS Shell Dlg"/>
          <w:color w:val="073D48"/>
          <w:spacing w:val="0"/>
          <w:position w:val="0"/>
          <w:sz w:val="17"/>
          <w:shd w:fill="auto" w:val="clear"/>
        </w:rPr>
        <w:t xml:space="preserve"> </w:t>
      </w:r>
      <w:r>
        <w:rPr>
          <w:rFonts w:ascii="MS Shell Dlg" w:hAnsi="MS Shell Dlg" w:cs="MS Shell Dlg" w:eastAsia="MS Shell Dlg"/>
          <w:color w:val="073D48"/>
          <w:spacing w:val="0"/>
          <w:position w:val="0"/>
          <w:sz w:val="17"/>
          <w:shd w:fill="auto" w:val="clear"/>
        </w:rPr>
        <w:t xml:space="preserve"> </w:t>
      </w:r>
      <w:r>
        <w:rPr>
          <w:rFonts w:ascii="MS Shell Dlg" w:hAnsi="MS Shell Dlg" w:cs="MS Shell Dlg" w:eastAsia="MS Shell Dlg"/>
          <w:color w:val="073D48"/>
          <w:spacing w:val="0"/>
          <w:position w:val="0"/>
          <w:sz w:val="17"/>
          <w:shd w:fill="auto" w:val="clear"/>
        </w:rPr>
        <w:t xml:space="preserve"> </w:t>
      </w:r>
      <w:r>
        <w:rPr>
          <w:rFonts w:ascii="MS Shell Dlg" w:hAnsi="MS Shell Dlg" w:cs="MS Shell Dlg" w:eastAsia="MS Shell Dlg"/>
          <w:color w:val="073D48"/>
          <w:spacing w:val="0"/>
          <w:position w:val="0"/>
          <w:sz w:val="17"/>
          <w:shd w:fill="auto" w:val="clear"/>
        </w:rPr>
        <w:t xml:space="preserve"> Peut produire une r</w:t>
      </w:r>
      <w:r>
        <w:rPr>
          <w:rFonts w:ascii="MS Shell Dlg" w:hAnsi="MS Shell Dlg" w:cs="MS Shell Dlg" w:eastAsia="MS Shell Dlg"/>
          <w:color w:val="073D48"/>
          <w:spacing w:val="0"/>
          <w:position w:val="0"/>
          <w:sz w:val="17"/>
          <w:shd w:fill="auto" w:val="clear"/>
        </w:rPr>
        <w:t xml:space="preserve">éaction allergique</w:t>
      </w: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2.2. Éléments d'étiquetage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u w:val="single"/>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u w:val="single"/>
          <w:shd w:fill="auto" w:val="clear"/>
        </w:rPr>
        <w:t xml:space="preserve">Classification GHS :</w:t>
      </w:r>
    </w:p>
    <w:p>
      <w:pPr>
        <w:widowControl w:val="false"/>
        <w:suppressAutoHyphens w:val="true"/>
        <w:spacing w:before="0" w:after="0" w:line="256"/>
        <w:ind w:right="0" w:left="0" w:firstLine="0"/>
        <w:jc w:val="left"/>
        <w:rPr>
          <w:rFonts w:ascii="Arial" w:hAnsi="Arial" w:cs="Arial" w:eastAsia="Arial"/>
          <w:color w:val="073D48"/>
          <w:spacing w:val="0"/>
          <w:position w:val="0"/>
          <w:sz w:val="8"/>
          <w:u w:val="single"/>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MS Shell Dlg" w:hAnsi="MS Shell Dlg" w:cs="MS Shell Dlg" w:eastAsia="MS Shell Dlg"/>
          <w:color w:val="073D48"/>
          <w:spacing w:val="0"/>
          <w:position w:val="0"/>
          <w:sz w:val="17"/>
          <w:shd w:fill="auto" w:val="clear"/>
        </w:rPr>
        <w:t xml:space="preserve">(LégislationCLP)</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4"/>
          <w:shd w:fill="auto" w:val="clear"/>
        </w:rPr>
      </w:pPr>
    </w:p>
    <w:p>
      <w:pPr>
        <w:widowControl w:val="false"/>
        <w:tabs>
          <w:tab w:val="left" w:pos="56" w:leader="none"/>
          <w:tab w:val="left" w:pos="850"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Times New Roman" w:hAnsi="Times New Roman" w:cs="Times New Roman" w:eastAsia="Times New Roman"/>
          <w:color w:val="073D48"/>
          <w:spacing w:val="0"/>
          <w:position w:val="0"/>
          <w:sz w:val="24"/>
          <w:shd w:fill="auto" w:val="clear"/>
        </w:rPr>
        <w:tab/>
      </w:r>
      <w:r>
        <w:object w:dxaOrig="979" w:dyaOrig="901">
          <v:rect xmlns:o="urn:schemas-microsoft-com:office:office" xmlns:v="urn:schemas-microsoft-com:vml" id="rectole0000000000" style="width:48.950000pt;height:45.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7"/>
          <w:shd w:fill="auto" w:val="clear"/>
        </w:rPr>
      </w:pP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Mention d'avertissement :</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ATTENTION</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Aquatic Chronic 3</w:t>
        <w:tab/>
        <w:t xml:space="preserve">Dangers pour le milieu aquatique - toxicité chronique 3</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Skin Sens. 1</w:t>
        <w:tab/>
        <w:t xml:space="preserve">Sensibilisation cutanée 1</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H317 - Peut provoquer une allergie cutanée.</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H412 - Nocif pour les organismes aquatiques, entraîne des effets néfastes à long terme.</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P261 - Éviter de respirer les poussières/fumées/gaz/brouillards/vapeurs/aérosols.</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P272 - Les vêtements de travail contaminés ne devraient pas sortir du lieu de travail.</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P273 - Éviter le rejet dans l’environnement.</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P280 - Porter des gants de protection/des vêtements de protection/un équipement de protection des yeux/du visage/une protection auditive/ …</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P302+P352 - EN CAS DE CONTACT AVEC LA PEAU: Laver abondamment à l’eau/…</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P321 - Traitement spécifique (voir … sur cette étiquette).</w:t>
      </w: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p>
    <w:p>
      <w:pPr>
        <w:widowControl w:val="false"/>
        <w:suppressAutoHyphens w:val="true"/>
        <w:spacing w:before="0" w:after="0" w:line="256"/>
        <w:ind w:right="0" w:left="0" w:firstLine="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EUH208 - Contient benzyl 2-hydroxybenzoate (benzyl salicylate), chromen-2-one (coumarin), 1,1,2,3,3-pentamethyl-2,5,6,7-tetrahydroinden-4-one (cashmeran), (6E)-3,7-dimethylnona-1,6-dien-3-ol (ethyl linalool), [(2E)-3,7-dimethylocta-2,6-dienyl] acetate (geranyl acetate), (2E)-3,7-dimethylocta-2,6-dien-1-ol (geraniol), hexyl 2-hydroxybenzoate (hexyl salicylate), 3,7-dimethylocta-1,6-dien-3-yl acetate (linalyl acetate), reaction products of acetic anhydride and 1,5,10-trimethyl-1,5,9-cyclodecatriene (trimofix), [3R-(3a,3aß,6a,7ß,8aa)]-octahydro-6-methoxy-3,6,8,8-tetramethyl-1H-3a,7-methanoazulene (cedramber), reaction mass of 1-(1,2,3,4,5,6,7,8 and 1-(1,2,3,4,6,7,8,8a and 1-(1,2,3,5,6,7,8,8a-octahydro-2,3,8,8-tetramethyl-2-naphthyl)ethan-1-one (iso e super).</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w:t>
      </w:r>
      <w:r>
        <w:rPr>
          <w:rFonts w:ascii="Tahoma" w:hAnsi="Tahoma" w:cs="Tahoma" w:eastAsia="Tahoma"/>
          <w:color w:val="073D48"/>
          <w:spacing w:val="0"/>
          <w:position w:val="0"/>
          <w:sz w:val="18"/>
          <w:shd w:fill="auto" w:val="clear"/>
        </w:rPr>
        <w:t xml:space="preserve"> Peut produire une r</w:t>
      </w:r>
      <w:r>
        <w:rPr>
          <w:rFonts w:ascii="Tahoma" w:hAnsi="Tahoma" w:cs="Tahoma" w:eastAsia="Tahoma"/>
          <w:color w:val="073D48"/>
          <w:spacing w:val="0"/>
          <w:position w:val="0"/>
          <w:sz w:val="18"/>
          <w:shd w:fill="auto" w:val="clear"/>
        </w:rPr>
        <w:t xml:space="preserve">éaction allergique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2.3. Autres dangers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6"/>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Contient</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benzyl 2-hydroxybenzoate (benzyl salicylate),</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hexyl 2-hydroxybenzoate (hexyl salicylate),</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reaction mass of 1-(1,2,3,4,5,6,7,8 and 1-(1,2,3,4,6,7,8,8a and 1-(1,2,3,5,6,7,8,8a</w: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Tahoma" w:hAnsi="Tahoma" w:cs="Tahoma" w:eastAsia="Tahoma"/>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-octahydro-2,3,8,8-tetramethyl-2-naphthyl)ethan-1-one (iso e super),</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1,1,2,3,3-pentamethyl-2,5,6,7-tetrahydroinden-4-one (cashmeran),</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(6E)-3,7-dimethylnona-1,6-dien-3-ol (ethyl linalool),</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[3R-(3a,3a</w:t>
      </w:r>
      <w:r>
        <w:rPr>
          <w:rFonts w:ascii="Tahoma" w:hAnsi="Tahoma" w:cs="Tahoma" w:eastAsia="Tahoma"/>
          <w:b/>
          <w:color w:val="073D48"/>
          <w:spacing w:val="0"/>
          <w:position w:val="0"/>
          <w:sz w:val="18"/>
          <w:shd w:fill="auto" w:val="clear"/>
        </w:rPr>
        <w:t xml:space="preserve">ß,6a,7ß,8aa)]-octahydro-6-methoxy-3,6,8,8-tetramethyl-1H-3a,7-methanoazulene (cedramber),</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chromen-2-one (coumarin),</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3,7-dimethylocta-1,6-dien-3-yl acetate (linalyl acetate),</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(2E)-3,7-dimethylocta-2,6-dien-1-ol (geraniol),</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[(2E)-3,7-dimethylocta-2,6-dienyl] acetate (geranyl acetate),</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w:t>
      </w:r>
      <w:r>
        <w:rPr>
          <w:rFonts w:ascii="Tahoma" w:hAnsi="Tahoma" w:cs="Tahoma" w:eastAsia="Tahoma"/>
          <w:b/>
          <w:color w:val="073D48"/>
          <w:spacing w:val="0"/>
          <w:position w:val="0"/>
          <w:sz w:val="18"/>
          <w:shd w:fill="auto" w:val="clear"/>
        </w:rPr>
        <w:t xml:space="preserve"> reaction products of acetic anhydride and 1,5,10-trimethyl-1,5,9-cyclodecatriene (trimofix)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Non applicable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3: COMPOSITION/INFORMATIONS SUR LES COMPOSANTS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3.1. Substances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Produit non concerné par la liste de composants. </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8"/>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3.2. Mélanges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7"/>
          <w:shd w:fill="auto" w:val="clear"/>
        </w:rPr>
      </w:pPr>
    </w:p>
    <w:tbl>
      <w:tblPr>
        <w:tblInd w:w="22" w:type="dxa"/>
      </w:tblPr>
      <w:tblGrid>
        <w:gridCol w:w="1506"/>
        <w:gridCol w:w="2740"/>
        <w:gridCol w:w="1205"/>
        <w:gridCol w:w="2361"/>
        <w:gridCol w:w="1352"/>
        <w:gridCol w:w="2065"/>
        <w:gridCol w:w="1518"/>
        <w:gridCol w:w="890"/>
      </w:tblGrid>
      <w:tr>
        <w:trPr>
          <w:trHeight w:val="487" w:hRule="auto"/>
          <w:jc w:val="left"/>
        </w:trPr>
        <w:tc>
          <w:tcPr>
            <w:tcW w:w="1506" w:type="dxa"/>
            <w:tcBorders>
              <w:top w:val="single" w:color="000000" w:sz="6"/>
              <w:left w:val="single" w:color="000000" w:sz="6"/>
              <w:bottom w:val="single" w:color="000000" w:sz="6"/>
              <w:right w:val="single" w:color="000000" w:sz="0"/>
            </w:tcBorders>
            <w:shd w:color="000000" w:fill="ffffff" w:val="clear"/>
            <w:tcMar>
              <w:left w:w="3" w:type="dxa"/>
              <w:right w:w="3"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16"/>
                <w:shd w:fill="auto" w:val="clear"/>
              </w:rPr>
              <w:t xml:space="preserve">Numéro d'identification</w:t>
            </w:r>
          </w:p>
        </w:tc>
        <w:tc>
          <w:tcPr>
            <w:tcW w:w="2740" w:type="dxa"/>
            <w:tcBorders>
              <w:top w:val="single" w:color="000000" w:sz="6"/>
              <w:left w:val="single" w:color="000000" w:sz="6"/>
              <w:bottom w:val="single" w:color="000000" w:sz="6"/>
              <w:right w:val="single" w:color="000000" w:sz="0"/>
            </w:tcBorders>
            <w:shd w:color="000000" w:fill="ffffff" w:val="clear"/>
            <w:tcMar>
              <w:left w:w="3" w:type="dxa"/>
              <w:right w:w="3"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16"/>
                <w:shd w:fill="auto" w:val="clear"/>
              </w:rPr>
              <w:t xml:space="preserve">Substance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center"/>
              <w:rPr>
                <w:rFonts w:ascii="Calibri" w:hAnsi="Calibri" w:cs="Calibri" w:eastAsia="Calibri"/>
                <w:color w:val="auto"/>
                <w:spacing w:val="0"/>
                <w:position w:val="0"/>
                <w:sz w:val="22"/>
                <w:shd w:fill="auto" w:val="clear"/>
              </w:rPr>
            </w:pPr>
          </w:p>
        </w:tc>
        <w:tc>
          <w:tcPr>
            <w:tcW w:w="2361" w:type="dxa"/>
            <w:tcBorders>
              <w:top w:val="single" w:color="000000" w:sz="6"/>
              <w:left w:val="single" w:color="000000" w:sz="6"/>
              <w:bottom w:val="single" w:color="000000" w:sz="6"/>
              <w:right w:val="single" w:color="000000" w:sz="0"/>
            </w:tcBorders>
            <w:shd w:color="000000" w:fill="ffffff" w:val="clear"/>
            <w:tcMar>
              <w:left w:w="3" w:type="dxa"/>
              <w:right w:w="3"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16"/>
                <w:shd w:fill="auto" w:val="clear"/>
              </w:rPr>
              <w:t xml:space="preserve">Classes danger &amp; Phrases H</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center"/>
              <w:rPr>
                <w:rFonts w:ascii="Calibri" w:hAnsi="Calibri" w:cs="Calibri" w:eastAsia="Calibri"/>
                <w:color w:val="auto"/>
                <w:spacing w:val="0"/>
                <w:position w:val="0"/>
                <w:sz w:val="22"/>
                <w:shd w:fill="auto" w:val="clear"/>
              </w:rPr>
            </w:pPr>
          </w:p>
        </w:tc>
        <w:tc>
          <w:tcPr>
            <w:tcW w:w="2065" w:type="dxa"/>
            <w:tcBorders>
              <w:top w:val="single" w:color="000000" w:sz="6"/>
              <w:left w:val="single" w:color="000000" w:sz="6"/>
              <w:bottom w:val="single" w:color="000000" w:sz="6"/>
              <w:right w:val="single" w:color="000000" w:sz="0"/>
            </w:tcBorders>
            <w:shd w:color="000000" w:fill="ffffff" w:val="clear"/>
            <w:tcMar>
              <w:left w:w="3" w:type="dxa"/>
              <w:right w:w="3"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16"/>
                <w:shd w:fill="auto" w:val="clear"/>
              </w:rPr>
              <w:t xml:space="preserve">LCS / Facteurs M / ATE</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center"/>
              <w:rPr>
                <w:rFonts w:ascii="Calibri" w:hAnsi="Calibri" w:cs="Calibri" w:eastAsia="Calibri"/>
                <w:color w:val="auto"/>
                <w:spacing w:val="0"/>
                <w:position w:val="0"/>
                <w:sz w:val="22"/>
                <w:shd w:fill="auto" w:val="clear"/>
              </w:rPr>
            </w:pPr>
          </w:p>
        </w:tc>
        <w:tc>
          <w:tcPr>
            <w:tcW w:w="890" w:type="dxa"/>
            <w:tcBorders>
              <w:top w:val="single" w:color="000000" w:sz="6"/>
              <w:left w:val="single" w:color="000000" w:sz="6"/>
              <w:bottom w:val="single" w:color="000000" w:sz="6"/>
              <w:right w:val="single" w:color="000000" w:sz="6"/>
            </w:tcBorders>
            <w:shd w:color="000000" w:fill="ffffff" w:val="clear"/>
            <w:tcMar>
              <w:left w:w="3" w:type="dxa"/>
              <w:right w:w="3"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b/>
                <w:color w:val="073D48"/>
                <w:spacing w:val="0"/>
                <w:position w:val="0"/>
                <w:sz w:val="16"/>
                <w:shd w:fill="auto" w:val="clear"/>
              </w:rPr>
              <w:t xml:space="preserve">Pourcentage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106-24-1</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203-377-1</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01-2119552430-49-XXXX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(2E)-3,7-dimethylocta-2,6-dien-1-ol (geraniol)</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Dam. 1, Skin Irrit. 2, Skin Sens. 1</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H318, H315,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10339-55-6</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233-732-6</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01-2119969272-32-XXXX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(6E)-3,7-dimethylnona-1,6-dien-3-ol (ethyl linalool)</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33704-61-9</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251-649-3</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01-2119977131-40-0000</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1,1,2,3,3-pentamethyl-2,5,6,7-tetrahydroinden-4-one (cashmeran)</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Aquatic Chronic 2, Skin Irrit. 2,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H411, H315,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1506-02-1</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216-133-4</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01-2119539433-40-0000</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1-(3,5,5,6,8,8-hexamethyl-6,7-dihydronaphthalen-2-yl)ethanone (fixolide)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Acute Tox. 4, Aquatic Acute 1, Aquatic Chronic 1</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H302, H400, H410</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EHA1 (M=1)EHC1 (M=1)</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ATE (Orale) : 1000mg/kg</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115-95-7</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204-116-4</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01-2119454789-19-XXXX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3,7-dimethylocta-1,6-dien-3-yl acetate (linalyl acetate)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Skin Irrit. 2,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H315,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105-87-3</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203-341-5</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01-2119973480-35-XXXX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[(2E)-3,7-dimethylocta-2,6-dienyl] acetate (geranyl acetate)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Aquatic Chronic 3, Skin Irrit. 2,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H412, H315,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67874-81-1</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243-384-7</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01-2120228335-61-XXXX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[3R-(3a,3aß,6a,7ß,8aa)]-octahydro-6-methoxy-3,6,8,8-tetramethyl-1H-3a,7-methanoazulene (cedramber)</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Aquatic Acute 1, Aquatic Chronic 1,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H400, H410,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EHA1 (M=1)EHC1 (M=1)</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14"/>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7"/>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3/14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5"/>
          <w:shd w:fill="auto" w:val="clear"/>
        </w:rPr>
      </w:pPr>
    </w:p>
    <w:tbl>
      <w:tblPr>
        <w:tblInd w:w="22" w:type="dxa"/>
      </w:tblPr>
      <w:tblGrid>
        <w:gridCol w:w="1506"/>
        <w:gridCol w:w="2740"/>
        <w:gridCol w:w="1205"/>
        <w:gridCol w:w="2361"/>
        <w:gridCol w:w="1352"/>
        <w:gridCol w:w="2065"/>
        <w:gridCol w:w="1518"/>
        <w:gridCol w:w="890"/>
      </w:tblGrid>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118-58-1</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204-262-9</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01-2119969442-31-XXXX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benzyl 2-hydroxybenzoate (benzyl salicylate)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Aquatic Chronic 3,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H412,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91-64-5</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202-086-7</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01-2119943756-26-XXXX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chromen-2-one (coumarin)</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Acute Tox. 3,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H301,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ATE (Orale) : 290mg/kg</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6259-76-3</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228-408-6</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01-2119638275-36-0000</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hexyl 2-hydroxybenzoate (hexyl salicylate)</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Aquatic Acute 1, Aquatic Chronic 1,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H400, H410,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EHA1 (M=1)EHC1 (M=1)</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54464-57-2</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915-730-3</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01-2119489989-04-XXXX</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reaction mass of 1-(1,2,3,4,5,6,7,8 and 1-(1,2,3,4,6,7,8,8a and 1-(1,2,3,5,6,7,8,8a-octahydro-2,3,8,8-tetramethyl-2-naphthyl)ethan-1-one (iso e super)</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Eye Irrit. 2, Aquatic Chronic 2, Skin Irrit. 2,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H319, H411, H315,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r>
        <w:trPr>
          <w:trHeight w:val="905" w:hRule="auto"/>
          <w:jc w:val="left"/>
        </w:trPr>
        <w:tc>
          <w:tcPr>
            <w:tcW w:w="1506"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CAS# 144020-22-4</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Arial" w:hAnsi="Arial" w:cs="Arial" w:eastAsia="Arial"/>
                <w:color w:val="073D48"/>
                <w:spacing w:val="0"/>
                <w:position w:val="0"/>
                <w:sz w:val="14"/>
                <w:shd w:fill="auto" w:val="clear"/>
              </w:rPr>
              <w:t xml:space="preserve">EINECS# 482-330-9</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REACH# 01-0000020172-83-0000</w:t>
            </w:r>
          </w:p>
        </w:tc>
        <w:tc>
          <w:tcPr>
            <w:tcW w:w="2740"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reaction products of acetic anhydride and 1,5,10-trimethyl-1,5,9-cyclodecatriene (trimofix)</w:t>
            </w:r>
          </w:p>
        </w:tc>
        <w:tc>
          <w:tcPr>
            <w:tcW w:w="1205"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361"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4"/>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Aquatic Acute 1, Aquatic Chronic 1, Skin Sens. 1B</w:t>
            </w:r>
          </w:p>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Arial" w:hAnsi="Arial" w:cs="Arial" w:eastAsia="Arial"/>
                <w:color w:val="073D48"/>
                <w:spacing w:val="0"/>
                <w:position w:val="0"/>
                <w:sz w:val="14"/>
                <w:shd w:fill="auto" w:val="clear"/>
              </w:rPr>
              <w:t xml:space="preserve">H400, H410, H317</w:t>
            </w:r>
          </w:p>
        </w:tc>
        <w:tc>
          <w:tcPr>
            <w:tcW w:w="1352"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2065" w:type="dxa"/>
            <w:tcBorders>
              <w:top w:val="single" w:color="c0c0c0" w:sz="6"/>
              <w:left w:val="single" w:color="c0c0c0" w:sz="6"/>
              <w:bottom w:val="single" w:color="c0c0c0" w:sz="6"/>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EHA1 (M=1)EHC1 (M=1)</w:t>
            </w:r>
          </w:p>
        </w:tc>
        <w:tc>
          <w:tcPr>
            <w:tcW w:w="1518" w:type="dxa"/>
            <w:tcBorders>
              <w:top w:val="single" w:color="000000" w:sz="0"/>
              <w:left w:val="single" w:color="000000" w:sz="0"/>
              <w:bottom w:val="single" w:color="000000" w:sz="0"/>
              <w:right w:val="single" w:color="000000" w:sz="0"/>
            </w:tcBorders>
            <w:shd w:color="000000" w:fill="ffffff" w:val="clear"/>
            <w:tcMar>
              <w:left w:w="3" w:type="dxa"/>
              <w:right w:w="3" w:type="dxa"/>
            </w:tcMar>
            <w:vAlign w:val="top"/>
          </w:tcPr>
          <w:p>
            <w:pPr>
              <w:widowControl w:val="false"/>
              <w:tabs>
                <w:tab w:val="left" w:pos="56"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p>
        </w:tc>
        <w:tc>
          <w:tcPr>
            <w:tcW w:w="890" w:type="dxa"/>
            <w:tcBorders>
              <w:top w:val="single" w:color="c0c0c0" w:sz="6"/>
              <w:left w:val="single" w:color="c0c0c0" w:sz="6"/>
              <w:bottom w:val="single" w:color="c0c0c0" w:sz="6"/>
              <w:right w:val="single" w:color="c0c0c0" w:sz="6"/>
            </w:tcBorders>
            <w:shd w:color="000000" w:fill="ffffff" w:val="clear"/>
            <w:tcMar>
              <w:left w:w="3" w:type="dxa"/>
              <w:right w:w="3" w:type="dxa"/>
            </w:tcMar>
            <w:vAlign w:val="top"/>
          </w:tcPr>
          <w:p>
            <w:pPr>
              <w:widowControl w:val="false"/>
              <w:tabs>
                <w:tab w:val="left" w:pos="56" w:leader="none"/>
                <w:tab w:val="right" w:pos="834"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4"/>
                <w:shd w:fill="auto" w:val="clear"/>
              </w:rPr>
              <w:t xml:space="preserve">[ 0-5 ]</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14"/>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9"/>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Verdana" w:hAnsi="Verdana" w:cs="Verdana" w:eastAsia="Verdana"/>
          <w:color w:val="073D48"/>
          <w:spacing w:val="0"/>
          <w:position w:val="0"/>
          <w:sz w:val="17"/>
          <w:shd w:fill="auto" w:val="clear"/>
        </w:rPr>
        <w:t xml:space="preserve">COMPOSITION : Mélange de matiéres premières aromatiques.</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4"/>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4: PREMIERS SECOURS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4.1. Description des premiers secours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4.1.1. Informations générales: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4/14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5"/>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4.2. Principaux symptômes et effets, aigus et différés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Tenir compte des phrases de risques et de sécurité.</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Traitement spécifique: premier secours, traitement des symptômes.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Commentaires pour le médecin: traiter symptômatiquement.</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5: MESURES DE LUTTE CONTRE L'INCENDIE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5.1. Moyens d’extinction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709" w:leader="none"/>
        </w:tabs>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widowControl w:val="false"/>
        <w:tabs>
          <w:tab w:val="left" w:pos="56" w:leader="none"/>
          <w:tab w:val="left" w:pos="709" w:leader="none"/>
        </w:tabs>
        <w:suppressAutoHyphens w:val="true"/>
        <w:spacing w:before="0" w:after="0" w:line="256"/>
        <w:ind w:right="0" w:left="0" w:firstLine="0"/>
        <w:jc w:val="both"/>
        <w:rPr>
          <w:rFonts w:ascii="Arial" w:hAnsi="Arial" w:cs="Arial" w:eastAsia="Arial"/>
          <w:color w:val="073D48"/>
          <w:spacing w:val="0"/>
          <w:position w:val="0"/>
          <w:sz w:val="18"/>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widowControl w:val="false"/>
        <w:tabs>
          <w:tab w:val="left" w:pos="56" w:leader="none"/>
          <w:tab w:val="left" w:pos="709" w:leader="none"/>
        </w:tabs>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tabs>
          <w:tab w:val="left" w:pos="56" w:leader="none"/>
          <w:tab w:val="left" w:pos="709" w:leader="none"/>
        </w:tabs>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5.2. Dangers particuliers résultant de la substance ou du mélange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Classe d'inflammabilité : le produit n'est pas inflammable.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 dioxyde de carbone</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 monoxyde de carbone.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5.3. Conseils aux pompiers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6: MESURES A PRENDRE EN CAS DE DISPERSION ACCIDENTELLE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6.1. Précautions individuelles, équipement de protection et procédures d’urgence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6.1.1. Pour les non-secouristes:</w:t>
      </w: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Arial" w:hAnsi="Arial" w:cs="Arial" w:eastAsia="Arial"/>
          <w:color w:val="073D48"/>
          <w:spacing w:val="0"/>
          <w:position w:val="0"/>
          <w:sz w:val="20"/>
          <w:shd w:fill="auto" w:val="clear"/>
        </w:rPr>
        <w:t xml:space="preserve">Utiliser un équipement de protection individuel</w: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5/14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 voir rubrique 8.</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6.2. Précautions pour la protection de l’environnement</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6.3. Méthodes et matériel de confinement et de nettoyage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6.4. Référence à d'autres sections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Equipement de protection individuelle: voir la rubrique 8.</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7: MANIPULATION ET STOCKAGE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7.1. Précautions à prendre pour une manipulation sans danger</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Mesures de protection: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6/14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arbres et les égouts doivent être protégés contre la pénétration du produit. Voir la rubrique 8.</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widowControl w:val="false"/>
        <w:suppressAutoHyphens w:val="true"/>
        <w:spacing w:before="0" w:after="0" w:line="256"/>
        <w:ind w:right="0" w:left="0" w:firstLine="0"/>
        <w:jc w:val="both"/>
        <w:rPr>
          <w:rFonts w:ascii="Trebuchet MS" w:hAnsi="Trebuchet MS" w:cs="Trebuchet MS" w:eastAsia="Trebuchet MS"/>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widowControl w:val="false"/>
        <w:suppressAutoHyphens w:val="true"/>
        <w:spacing w:before="0" w:after="0" w:line="256"/>
        <w:ind w:right="0" w:left="0" w:firstLine="0"/>
        <w:jc w:val="both"/>
        <w:rPr>
          <w:rFonts w:ascii="Trebuchet MS" w:hAnsi="Trebuchet MS" w:cs="Trebuchet MS" w:eastAsia="Trebuchet MS"/>
          <w:color w:val="073D48"/>
          <w:spacing w:val="0"/>
          <w:position w:val="0"/>
          <w:sz w:val="20"/>
          <w:shd w:fill="auto" w:val="clear"/>
        </w:rPr>
      </w:pPr>
    </w:p>
    <w:p>
      <w:pPr>
        <w:widowControl w:val="false"/>
        <w:suppressAutoHyphens w:val="true"/>
        <w:spacing w:before="0" w:after="0" w:line="256"/>
        <w:ind w:right="0" w:left="0" w:firstLine="0"/>
        <w:jc w:val="both"/>
        <w:rPr>
          <w:rFonts w:ascii="Trebuchet MS" w:hAnsi="Trebuchet MS" w:cs="Trebuchet MS" w:eastAsia="Trebuchet MS"/>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7.2. Conditions d'un stockage sûr, y compris d'éventuelles incompatibilités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Mesures techniques et conditions de stockage: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 à la température ambiante.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Protéger les récipients contre les dommages.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7.3. Utilisation(s) finale(s) particulière(s)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Recommandations: respecter les instructions d'utilisation.</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8: CONTROLES DE L'EXPOSITION/PROTECTION INDIVIDUELLE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2"/>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Des examens de médecine préventive du travail sont à effectuer.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8.1. Paramètres de contrôle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8.2. Contrôles de l’exposition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8.2.1. Contrôles techniques appropriés: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Arial" w:hAnsi="Arial" w:cs="Arial" w:eastAsia="Arial"/>
          <w:color w:val="073D48"/>
          <w:spacing w:val="0"/>
          <w:position w:val="0"/>
          <w:sz w:val="18"/>
          <w:shd w:fill="auto" w:val="clear"/>
        </w:rPr>
        <w:t xml:space="preserve">8.2.2. Mesures de protection individuelle:</w: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7/14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-Protection des mains :</w:t>
        <w:tab/>
        <w:t xml:space="preserve">porter des gants.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Ingestion : ne pas</w:t>
      </w:r>
      <w:r>
        <w:rPr>
          <w:rFonts w:ascii="Arial" w:hAnsi="Arial" w:cs="Arial" w:eastAsia="Arial"/>
          <w:color w:val="073D48"/>
          <w:spacing w:val="0"/>
          <w:position w:val="0"/>
          <w:sz w:val="18"/>
          <w:shd w:fill="auto" w:val="clear"/>
        </w:rPr>
        <w:t xml:space="preserve"> </w:t>
      </w:r>
      <w:r>
        <w:rPr>
          <w:rFonts w:ascii="Arial" w:hAnsi="Arial" w:cs="Arial" w:eastAsia="Arial"/>
          <w:color w:val="073D48"/>
          <w:spacing w:val="0"/>
          <w:position w:val="0"/>
          <w:sz w:val="18"/>
          <w:shd w:fill="auto" w:val="clear"/>
        </w:rPr>
        <w:t xml:space="preserve"> </w:t>
      </w:r>
      <w:r>
        <w:rPr>
          <w:rFonts w:ascii="Arial" w:hAnsi="Arial" w:cs="Arial" w:eastAsia="Arial"/>
          <w:color w:val="073D48"/>
          <w:spacing w:val="0"/>
          <w:position w:val="0"/>
          <w:sz w:val="18"/>
          <w:shd w:fill="auto" w:val="clear"/>
        </w:rPr>
        <w:t xml:space="preserve"> </w:t>
      </w:r>
      <w:r>
        <w:rPr>
          <w:rFonts w:ascii="Arial" w:hAnsi="Arial" w:cs="Arial" w:eastAsia="Arial"/>
          <w:color w:val="073D48"/>
          <w:spacing w:val="0"/>
          <w:position w:val="0"/>
          <w:sz w:val="18"/>
          <w:shd w:fill="auto" w:val="clear"/>
        </w:rPr>
        <w:t xml:space="preserve"> manger, ne pas boire et ne pas fumer pendant l'utilisation.</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Respecter les consignes indiquées au § 2.2.</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Mesures techniques visant à prévenir l'exposition: pas de mesures spécifiques.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3"/>
          <w:shd w:fill="auto" w:val="clear"/>
        </w:rPr>
      </w:pPr>
    </w:p>
    <w:p>
      <w:pPr>
        <w:widowControl w:val="false"/>
        <w:tabs>
          <w:tab w:val="left" w:pos="56" w:leader="none"/>
          <w:tab w:val="left" w:pos="850"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Times New Roman" w:hAnsi="Times New Roman" w:cs="Times New Roman" w:eastAsia="Times New Roman"/>
          <w:color w:val="073D48"/>
          <w:spacing w:val="0"/>
          <w:position w:val="0"/>
          <w:sz w:val="24"/>
          <w:shd w:fill="auto" w:val="clear"/>
        </w:rPr>
        <w:tab/>
      </w:r>
      <w:r>
        <w:object w:dxaOrig="979" w:dyaOrig="901">
          <v:rect xmlns:o="urn:schemas-microsoft-com:office:office" xmlns:v="urn:schemas-microsoft-com:vml" id="rectole0000000001" style="width:48.950000pt;height:45.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9: PROPRIETES PHYSIQUES ET CHIMIQUES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9.1. Informations sur les propriétés physiques et chimiques essentielles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Etat physique (@20°C-1 atm.)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Couleur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Odeur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Caractéristique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Point de fusion/point de congélation (@1 atm.)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Point d’ébullition (@1 atm.)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Inflammabilité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Limites inférieure et supérieure d’explosion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déterminées</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Point d’éclair (°C)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Température d'auto-inflammation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Température de décomposition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applicable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pH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Viscosité cinématique (mm²/s)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Solubilité (@20°C)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Coefficient de partage n-octanol/eau (valeur log)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applicable (mélange)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Pression de vapeur (mmHg @20°C)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Densité et/ou densité relative (@20°C-1 atm.) :</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Densité de vapeur relative (@20°C)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déterminée</w:t>
      </w: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Caractéristiques des particules :</w:t>
      </w:r>
    </w:p>
    <w:p>
      <w:pPr>
        <w:widowControl w:val="false"/>
        <w:suppressAutoHyphens w:val="true"/>
        <w:spacing w:before="0" w:after="0" w:line="256"/>
        <w:ind w:right="0" w:left="0" w:firstLine="0"/>
        <w:jc w:val="left"/>
        <w:rPr>
          <w:rFonts w:ascii="MS Shell Dlg" w:hAnsi="MS Shell Dlg" w:cs="MS Shell Dlg" w:eastAsia="MS Shell Dlg"/>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b/>
          <w:color w:val="073D48"/>
          <w:spacing w:val="0"/>
          <w:position w:val="0"/>
          <w:sz w:val="18"/>
          <w:shd w:fill="auto" w:val="clear"/>
        </w:rPr>
        <w:t xml:space="preserve">non applicable (liquide)</w:t>
      </w:r>
    </w:p>
    <w:p>
      <w:pPr>
        <w:widowControl w:val="false"/>
        <w:tabs>
          <w:tab w:val="left" w:pos="56" w:leader="none"/>
          <w:tab w:val="left" w:pos="3153"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4"/>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8/14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9.2. Autres informations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Tahoma" w:hAnsi="Tahoma" w:cs="Tahoma" w:eastAsia="Tahoma"/>
          <w:color w:val="073D48"/>
          <w:spacing w:val="0"/>
          <w:position w:val="0"/>
          <w:sz w:val="18"/>
          <w:shd w:fill="auto" w:val="clear"/>
        </w:rPr>
        <w:t xml:space="preserve">Indice de réfraction (@20°C) :</w:t>
      </w: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10: STABILITE ET REACTIVITE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10.1. Réactivité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10.2. Stabilité chimique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10.3. Possibilité de réactions dangereuses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Aucune réaction dangereuse lorsqu'il est manipulé et stocké conformément aux dispositions.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les acides, les bases et les agents oxydants.</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10.4. Conditions à éviter</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w:t>
      </w:r>
    </w:p>
    <w:p>
      <w:pPr>
        <w:widowControl w:val="false"/>
        <w:suppressAutoHyphens w:val="true"/>
        <w:spacing w:before="0" w:after="0" w:line="256"/>
        <w:ind w:right="0" w:left="0" w:firstLine="0"/>
        <w:jc w:val="both"/>
        <w:rPr>
          <w:rFonts w:ascii="Arial" w:hAnsi="Arial" w:cs="Arial" w:eastAsia="Arial"/>
          <w:color w:val="073D48"/>
          <w:spacing w:val="0"/>
          <w:position w:val="0"/>
          <w:sz w:val="18"/>
          <w:shd w:fill="auto" w:val="clear"/>
        </w:rPr>
      </w:pPr>
      <w:r>
        <w:rPr>
          <w:rFonts w:ascii="Arial" w:hAnsi="Arial" w:cs="Arial" w:eastAsia="Arial"/>
          <w:color w:val="073D48"/>
          <w:spacing w:val="0"/>
          <w:position w:val="0"/>
          <w:sz w:val="20"/>
          <w:shd w:fill="auto" w:val="clear"/>
        </w:rPr>
        <w:t xml:space="preserve">Sources directes de chaleur.</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10.5. Matières incompatibles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Acides - Bases - Agents oxydants.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10.6. Produits de décomposition dangereux</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Décomposition thermique / conditions à éviter : </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se décompose pas lorsqu'il est utilisé pour les utilisations prévues.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11: INFORMATIONS TOXICOLOGIQUES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11.1. Informations sur les classes de danger telles que définies dans le règlement (CE) nº 1272/2008</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 toxicité aiguë</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00000"/>
          <w:spacing w:val="0"/>
          <w:position w:val="0"/>
          <w:sz w:val="16"/>
          <w:shd w:fill="auto" w:val="clear"/>
        </w:rPr>
        <w:t xml:space="preserve">CUPIDON </w:t>
      </w:r>
      <w:r>
        <w:rPr>
          <w:rFonts w:ascii="Arial" w:hAnsi="Arial" w:cs="Arial" w:eastAsia="Arial"/>
          <w:color w:val="073D48"/>
          <w:spacing w:val="0"/>
          <w:position w:val="0"/>
          <w:sz w:val="16"/>
          <w:shd w:fill="auto" w:val="clear"/>
        </w:rPr>
        <w:t xml:space="preserve">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(inhal.) = Non déterminée (mg/l/4 h)</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 corrosion cutanée/irritation cutanée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 lésions oculaires graves/irritation oculaire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 sensibilisation respiratoire ou cutanée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 mutagénicité sur les cellules germinales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 cancérogénicité</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 toxicité pour la reproduction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h) toxicité spécifique pour certains organes cibles (STOT) </w:t>
      </w:r>
      <w:r>
        <w:rPr>
          <w:rFonts w:ascii="Arial" w:hAnsi="Arial" w:cs="Arial" w:eastAsia="Arial"/>
          <w:color w:val="073D48"/>
          <w:spacing w:val="0"/>
          <w:position w:val="0"/>
          <w:sz w:val="20"/>
          <w:shd w:fill="auto" w:val="clear"/>
        </w:rPr>
        <w:t xml:space="preserve">–</w:t>
      </w:r>
      <w:r>
        <w:rPr>
          <w:rFonts w:ascii="Arial" w:hAnsi="Arial" w:cs="Arial" w:eastAsia="Arial"/>
          <w:color w:val="073D48"/>
          <w:spacing w:val="0"/>
          <w:position w:val="0"/>
          <w:sz w:val="20"/>
          <w:shd w:fill="auto" w:val="clear"/>
        </w:rPr>
        <w:t xml:space="preserve"> exposition unique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 toxicité spécifique pour certains organes cibles (STOT) </w:t>
      </w:r>
      <w:r>
        <w:rPr>
          <w:rFonts w:ascii="Arial" w:hAnsi="Arial" w:cs="Arial" w:eastAsia="Arial"/>
          <w:color w:val="073D48"/>
          <w:spacing w:val="0"/>
          <w:position w:val="0"/>
          <w:sz w:val="20"/>
          <w:shd w:fill="auto" w:val="clear"/>
        </w:rPr>
        <w:t xml:space="preserve">–</w:t>
      </w:r>
      <w:r>
        <w:rPr>
          <w:rFonts w:ascii="Arial" w:hAnsi="Arial" w:cs="Arial" w:eastAsia="Arial"/>
          <w:color w:val="073D48"/>
          <w:spacing w:val="0"/>
          <w:position w:val="0"/>
          <w:sz w:val="20"/>
          <w:shd w:fill="auto" w:val="clear"/>
        </w:rPr>
        <w:t xml:space="preserve"> exposition r</w:t>
      </w:r>
      <w:r>
        <w:rPr>
          <w:rFonts w:ascii="Arial" w:hAnsi="Arial" w:cs="Arial" w:eastAsia="Arial"/>
          <w:color w:val="073D48"/>
          <w:spacing w:val="0"/>
          <w:position w:val="0"/>
          <w:sz w:val="20"/>
          <w:shd w:fill="auto" w:val="clear"/>
        </w:rPr>
        <w:t xml:space="preserve">épétée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j) danger par aspiration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9/14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CUPIDON 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 toxicité aiguë</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(inhal.) = Non déterminée (mg/l/4 h)</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 corrosion cutanée/irritation cutanée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 lésions oculaires graves/irritation oculaire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 sensibilisation respiratoire ou cutanée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 mutagénicité sur les cellules germinales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 cancérogénicité</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 toxicité pour la reproduction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h) toxicité spécifique pour certains organes cibles (STOT) </w:t>
      </w:r>
      <w:r>
        <w:rPr>
          <w:rFonts w:ascii="Arial" w:hAnsi="Arial" w:cs="Arial" w:eastAsia="Arial"/>
          <w:color w:val="073D48"/>
          <w:spacing w:val="0"/>
          <w:position w:val="0"/>
          <w:sz w:val="20"/>
          <w:shd w:fill="auto" w:val="clear"/>
        </w:rPr>
        <w:t xml:space="preserve">–</w:t>
      </w:r>
      <w:r>
        <w:rPr>
          <w:rFonts w:ascii="Arial" w:hAnsi="Arial" w:cs="Arial" w:eastAsia="Arial"/>
          <w:color w:val="073D48"/>
          <w:spacing w:val="0"/>
          <w:position w:val="0"/>
          <w:sz w:val="20"/>
          <w:shd w:fill="auto" w:val="clear"/>
        </w:rPr>
        <w:t xml:space="preserve"> exposition unique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 toxicité spécifique pour certains organes cibles (STOT) </w:t>
      </w:r>
      <w:r>
        <w:rPr>
          <w:rFonts w:ascii="Arial" w:hAnsi="Arial" w:cs="Arial" w:eastAsia="Arial"/>
          <w:color w:val="073D48"/>
          <w:spacing w:val="0"/>
          <w:position w:val="0"/>
          <w:sz w:val="20"/>
          <w:shd w:fill="auto" w:val="clear"/>
        </w:rPr>
        <w:t xml:space="preserve">–</w:t>
      </w:r>
      <w:r>
        <w:rPr>
          <w:rFonts w:ascii="Arial" w:hAnsi="Arial" w:cs="Arial" w:eastAsia="Arial"/>
          <w:color w:val="073D48"/>
          <w:spacing w:val="0"/>
          <w:position w:val="0"/>
          <w:sz w:val="20"/>
          <w:shd w:fill="auto" w:val="clear"/>
        </w:rPr>
        <w:t xml:space="preserve"> exposition r</w:t>
      </w:r>
      <w:r>
        <w:rPr>
          <w:rFonts w:ascii="Arial" w:hAnsi="Arial" w:cs="Arial" w:eastAsia="Arial"/>
          <w:color w:val="073D48"/>
          <w:spacing w:val="0"/>
          <w:position w:val="0"/>
          <w:sz w:val="20"/>
          <w:shd w:fill="auto" w:val="clear"/>
        </w:rPr>
        <w:t xml:space="preserve">épétée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j) danger par aspiration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voir section 2</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11.2.</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w:t>
            </w:r>
            <w:r>
              <w:rPr>
                <w:rFonts w:ascii="Arial" w:hAnsi="Arial" w:cs="Arial" w:eastAsia="Arial"/>
                <w:color w:val="073D48"/>
                <w:spacing w:val="0"/>
                <w:position w:val="0"/>
                <w:sz w:val="20"/>
                <w:shd w:fill="auto" w:val="clear"/>
              </w:rPr>
              <w:t xml:space="preserve"> Informations sur les autres dangers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11.2.1. Propriétés perturbant le système endocrinien:</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11.2.2. Autres informations:</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12: INFORMATIONS ECOLOGIQUES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12.1. Toxicité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10/14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CUPIDON 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12.2. Persistance et dégradabilité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12.3. Potentiel de bioaccumulation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12.4. Mobilité dans le sol</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12.5. Résultats des évaluations PBT et vPvB</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12.6. Propriétés perturbant le système endocrinien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12.7. Autres effets néfastes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Pas de données à ce jour.</w:t>
      </w: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13: CONSIDERATIONS RELATIVES A L'ELIMINATION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13.1. Méthodes de traitement des déchets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13.1.1 Disposition relative au produit/à l'emballage: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w: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11/14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CUPIDON 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tbl>
      <w:tblPr>
        <w:tblInd w:w="22" w:type="dxa"/>
      </w:tblPr>
      <w:tblGrid>
        <w:gridCol w:w="9652"/>
      </w:tblGrid>
      <w:tr>
        <w:trPr>
          <w:trHeight w:val="360" w:hRule="auto"/>
          <w:jc w:val="left"/>
        </w:trPr>
        <w:tc>
          <w:tcPr>
            <w:tcW w:w="9652"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14: INFORMATIONS RELATIVES AU TRANSPORT</w:t>
            </w:r>
          </w:p>
        </w:tc>
      </w:tr>
    </w:tbl>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déchets dangereux.</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IATA:</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6"/>
          <w:shd w:fill="auto" w:val="clear"/>
        </w:rPr>
      </w:pPr>
    </w:p>
    <w:p>
      <w:pPr>
        <w:widowControl w:val="false"/>
        <w:tabs>
          <w:tab w:val="left" w:pos="56" w:leader="none"/>
          <w:tab w:val="left" w:pos="850"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24"/>
          <w:shd w:fill="auto" w:val="clear"/>
        </w:rPr>
      </w:pPr>
      <w:r>
        <w:rPr>
          <w:rFonts w:ascii="Times New Roman" w:hAnsi="Times New Roman" w:cs="Times New Roman" w:eastAsia="Times New Roman"/>
          <w:color w:val="073D48"/>
          <w:spacing w:val="0"/>
          <w:position w:val="0"/>
          <w:sz w:val="24"/>
          <w:shd w:fill="auto" w:val="clear"/>
        </w:rPr>
        <w:tab/>
      </w:r>
      <w:r>
        <w:object w:dxaOrig="979" w:dyaOrig="901">
          <v:rect xmlns:o="urn:schemas-microsoft-com:office:office" xmlns:v="urn:schemas-microsoft-com:vml" id="rectole0000000002" style="width:48.950000pt;height:45.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widowControl w:val="false"/>
        <w:suppressAutoHyphens w:val="true"/>
        <w:spacing w:before="0" w:after="0" w:line="256"/>
        <w:ind w:right="0" w:left="0" w:firstLine="0"/>
        <w:jc w:val="left"/>
        <w:rPr>
          <w:rFonts w:ascii="Times New Roman" w:hAnsi="Times New Roman" w:cs="Times New Roman" w:eastAsia="Times New Roman"/>
          <w:color w:val="073D48"/>
          <w:spacing w:val="0"/>
          <w:position w:val="0"/>
          <w:sz w:val="7"/>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14.1. Numéro ONU ou numéro d’identification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ADR : 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IMDG:NON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IATA :3334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NON REGLEMENTE</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20"/>
          <w:shd w:fill="auto" w:val="clear"/>
        </w:rPr>
        <w:t xml:space="preserve">3334 MATIERE LIQUIDE REGLEMENTEE POUR LE TRANSPORT AERIEN N.S.A. ((2E)-3,7-dimethylocta-2,6-dien-1-ol (geraniol)), 9, III</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10"/>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14.2. Désignation officielle de transport de l'ONU</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ADR : 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IMDG:NON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IATA :MATIERE LIQUIDE REGLEMENTEE POUR LE TRANSPORT AERIEN N.S.A. ((2E)-3,7-dimethylocta-2,6-dien-1-ol (geraniol))</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14.3. Classe(s) de danger pour le transport</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ADR : 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IMDG:NON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IATA :9</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14.4. Groupe d’emballage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ADR : 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IMDG:NON REGLEMENTE</w:t>
      </w: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ab/>
        <w:t xml:space="preserve">IATA :III</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12/14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CUPIDON 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5"/>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14.5. Dangers pour l’environnement</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IMDG : NON REGLEMENTE</w:t>
      </w: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14.6. Précautions particulières à prendre par l’utilisateur</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NON CONCERNE</w:t>
      </w: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14.7. Transport maritime en vrac conformément aux instruments de l’OMI</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NON CONCERNE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15: INFORMATIONS RELATIVES A LA REGLEMENTATION</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3"/>
          <w:shd w:fill="auto" w:val="clear"/>
        </w:rPr>
      </w:pPr>
    </w:p>
    <w:tbl>
      <w:tblPr>
        <w:tblInd w:w="737" w:type="dxa"/>
      </w:tblPr>
      <w:tblGrid>
        <w:gridCol w:w="9640"/>
      </w:tblGrid>
      <w:tr>
        <w:trPr>
          <w:trHeight w:val="555"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r>
        <w:rPr>
          <w:rFonts w:ascii="Times New Roman" w:hAnsi="Times New Roman" w:cs="Times New Roman" w:eastAsia="Times New Roman"/>
          <w:color w:val="073D48"/>
          <w:spacing w:val="0"/>
          <w:position w:val="0"/>
          <w:sz w:val="24"/>
          <w:shd w:fill="auto" w:val="clear"/>
        </w:rPr>
        <w:tab/>
      </w:r>
      <w:r>
        <w:rPr>
          <w:rFonts w:ascii="Verdana" w:hAnsi="Verdana" w:cs="Verdana" w:eastAsia="Verdana"/>
          <w:color w:val="073D48"/>
          <w:spacing w:val="0"/>
          <w:position w:val="0"/>
          <w:sz w:val="17"/>
          <w:shd w:fill="auto" w:val="clear"/>
        </w:rPr>
        <w:t xml:space="preserve">Règlements de l'UE:</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17"/>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17"/>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17"/>
          <w:shd w:fill="auto" w:val="clear"/>
        </w:rPr>
        <w:t xml:space="preserve">RÈGLEMENT (UE) 2020/878 DE LA COMMISSION du 18 juin 2020 modifiant l’annexe II du règlement (CE) no 1907/2006 du Parlement européen et du Conseil concernant l’enregistrement, l’évaluation et l’autorisation des substances chimiques, ainsi que les restrictions applicables à ces substances (REACH).</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17"/>
          <w:shd w:fill="auto" w:val="clear"/>
        </w:rPr>
        <w:t xml:space="preserve">Autre législation de l'UE: </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r>
        <w:rPr>
          <w:rFonts w:ascii="Verdana" w:hAnsi="Verdana" w:cs="Verdana" w:eastAsia="Verdana"/>
          <w:color w:val="073D48"/>
          <w:spacing w:val="0"/>
          <w:position w:val="0"/>
          <w:sz w:val="17"/>
          <w:shd w:fill="auto" w:val="clear"/>
        </w:rPr>
        <w:t xml:space="preserve">DIRECTIVE 2008/98/CE DU PARLEMENT EUROPÉEN ET DU CONSEIL du 19 novembre 2008 relative aux déchets et abrogeant certaines directives.</w:t>
      </w:r>
    </w:p>
    <w:p>
      <w:pPr>
        <w:widowControl w:val="false"/>
        <w:suppressAutoHyphens w:val="true"/>
        <w:spacing w:before="0" w:after="0" w:line="256"/>
        <w:ind w:right="0" w:left="0" w:firstLine="0"/>
        <w:jc w:val="both"/>
        <w:rPr>
          <w:rFonts w:ascii="Verdana" w:hAnsi="Verdana" w:cs="Verdana" w:eastAsia="Verdana"/>
          <w:color w:val="073D48"/>
          <w:spacing w:val="0"/>
          <w:position w:val="0"/>
          <w:sz w:val="17"/>
          <w:shd w:fill="auto" w:val="clear"/>
        </w:rPr>
      </w:pPr>
    </w:p>
    <w:p>
      <w:pPr>
        <w:widowControl w:val="false"/>
        <w:suppressAutoHyphens w:val="true"/>
        <w:spacing w:before="0" w:after="0" w:line="256"/>
        <w:ind w:right="0" w:left="0" w:firstLine="0"/>
        <w:jc w:val="left"/>
        <w:rPr>
          <w:rFonts w:ascii="Verdana" w:hAnsi="Verdana" w:cs="Verdana" w:eastAsia="Verdana"/>
          <w:color w:val="073D48"/>
          <w:spacing w:val="0"/>
          <w:position w:val="0"/>
          <w:sz w:val="17"/>
          <w:shd w:fill="auto" w:val="clear"/>
        </w:rPr>
      </w:pPr>
    </w:p>
    <w:tbl>
      <w:tblPr>
        <w:tblInd w:w="737" w:type="dxa"/>
      </w:tblPr>
      <w:tblGrid>
        <w:gridCol w:w="9640"/>
      </w:tblGrid>
      <w:tr>
        <w:trPr>
          <w:trHeight w:val="334" w:hRule="auto"/>
          <w:jc w:val="left"/>
        </w:trPr>
        <w:tc>
          <w:tcPr>
            <w:tcW w:w="9640"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15.2. Évaluation de la sécurité chimique</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Pour cette substance une évaluation de la sécurité chimique a été réalisée.</w:t>
      </w:r>
    </w:p>
    <w:p>
      <w:pPr>
        <w:widowControl w:val="false"/>
        <w:suppressAutoHyphens w:val="true"/>
        <w:spacing w:before="0" w:after="0" w:line="256"/>
        <w:ind w:right="0" w:left="0" w:firstLine="0"/>
        <w:jc w:val="left"/>
        <w:rPr>
          <w:rFonts w:ascii="Arial" w:hAnsi="Arial" w:cs="Arial" w:eastAsia="Arial"/>
          <w:color w:val="073D48"/>
          <w:spacing w:val="0"/>
          <w:position w:val="0"/>
          <w:sz w:val="18"/>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tbl>
      <w:tblPr>
        <w:tblInd w:w="22" w:type="dxa"/>
      </w:tblPr>
      <w:tblGrid>
        <w:gridCol w:w="9653"/>
      </w:tblGrid>
      <w:tr>
        <w:trPr>
          <w:trHeight w:val="360" w:hRule="auto"/>
          <w:jc w:val="left"/>
        </w:trPr>
        <w:tc>
          <w:tcPr>
            <w:tcW w:w="9653" w:type="dxa"/>
            <w:tcBorders>
              <w:top w:val="single" w:color="808080" w:sz="6"/>
              <w:left w:val="single" w:color="808080" w:sz="6"/>
              <w:bottom w:val="single" w:color="808080" w:sz="6"/>
              <w:right w:val="single" w:color="808080" w:sz="6"/>
            </w:tcBorders>
            <w:shd w:color="auto" w:fill="e0e0e0" w:val="clear"/>
            <w:tcMar>
              <w:left w:w="6" w:type="dxa"/>
              <w:right w:w="6" w:type="dxa"/>
            </w:tcMar>
            <w:vAlign w:val="center"/>
          </w:tcPr>
          <w:p>
            <w:pPr>
              <w:widowControl w:val="false"/>
              <w:tabs>
                <w:tab w:val="left" w:pos="56" w:leader="none"/>
              </w:tabs>
              <w:suppressAutoHyphens w:val="true"/>
              <w:spacing w:before="0" w:after="0" w:line="256"/>
              <w:ind w:right="0" w:left="0" w:firstLine="0"/>
              <w:jc w:val="left"/>
              <w:rPr>
                <w:spacing w:val="0"/>
                <w:position w:val="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2"/>
                <w:shd w:fill="auto" w:val="clear"/>
              </w:rPr>
              <w:t xml:space="preserve">16: AUTRES INFORMATIONS</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22"/>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b/>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b/>
          <w:color w:val="073D48"/>
          <w:spacing w:val="0"/>
          <w:position w:val="0"/>
          <w:sz w:val="18"/>
          <w:shd w:fill="auto" w:val="clear"/>
        </w:rPr>
        <w:t xml:space="preserve">Texte intégral des phrases H citées en point 3 :</w:t>
      </w:r>
    </w:p>
    <w:p>
      <w:pPr>
        <w:widowControl w:val="false"/>
        <w:suppressAutoHyphens w:val="true"/>
        <w:spacing w:before="0" w:after="0" w:line="256"/>
        <w:ind w:right="0" w:left="0" w:firstLine="0"/>
        <w:jc w:val="left"/>
        <w:rPr>
          <w:rFonts w:ascii="Arial" w:hAnsi="Arial" w:cs="Arial" w:eastAsia="Arial"/>
          <w:b/>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H301</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Toxique en cas d'ingestion.</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H302</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Nocif en cas d'ingestion.</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H315</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Provoque une irritation cutanée.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H317</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Peut provoquer une allergie cutanée.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H318</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Provoque de graves lésions des yeux.</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H319</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Provoque une sévère irritation des yeux.</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13/14</w:t>
      </w:r>
      <w:r>
        <w:rPr>
          <w:rFonts w:ascii="Calibri" w:hAnsi="Calibri" w:cs="Calibri" w:eastAsia="Calibri"/>
          <w:color w:val="auto"/>
          <w:spacing w:val="0"/>
          <w:position w:val="0"/>
          <w:sz w:val="22"/>
          <w:shd w:fill="auto" w:val="clear"/>
        </w:rPr>
        <w:t xml:space="preserve"> </w:t>
      </w: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4"/>
          <w:shd w:fill="auto" w:val="clear"/>
        </w:rPr>
      </w:pPr>
    </w:p>
    <w:tbl>
      <w:tblPr>
        <w:tblInd w:w="22" w:type="dxa"/>
      </w:tblPr>
      <w:tblGrid>
        <w:gridCol w:w="9638"/>
      </w:tblGrid>
      <w:tr>
        <w:trPr>
          <w:trHeight w:val="516" w:hRule="auto"/>
          <w:jc w:val="left"/>
        </w:trPr>
        <w:tc>
          <w:tcPr>
            <w:tcW w:w="9638" w:type="dxa"/>
            <w:tcBorders>
              <w:top w:val="single" w:color="808080" w:sz="6"/>
              <w:left w:val="single" w:color="808080" w:sz="6"/>
              <w:bottom w:val="single" w:color="808080" w:sz="6"/>
              <w:right w:val="single" w:color="808080" w:sz="6"/>
            </w:tcBorders>
            <w:shd w:color="auto" w:fill="073d48" w:val="clear"/>
            <w:tcMar>
              <w:left w:w="6" w:type="dxa"/>
              <w:right w:w="6" w:type="dxa"/>
            </w:tcMar>
            <w:vAlign w:val="center"/>
          </w:tcPr>
          <w:p>
            <w:pPr>
              <w:widowControl w:val="false"/>
              <w:tabs>
                <w:tab w:val="left" w:pos="56" w:leader="none"/>
              </w:tabs>
              <w:suppressAutoHyphens w:val="true"/>
              <w:spacing w:before="0" w:after="0" w:line="256"/>
              <w:ind w:right="0" w:left="0" w:firstLine="0"/>
              <w:jc w:val="center"/>
              <w:rPr>
                <w:spacing w:val="0"/>
                <w:position w:val="0"/>
                <w:shd w:fill="auto" w:val="clear"/>
              </w:rPr>
            </w:pPr>
            <w:r>
              <w:rPr>
                <w:rFonts w:ascii="Arial" w:hAnsi="Arial" w:cs="Arial" w:eastAsia="Arial"/>
                <w:color w:val="D49C14"/>
                <w:spacing w:val="0"/>
                <w:position w:val="0"/>
                <w:sz w:val="36"/>
                <w:shd w:fill="auto" w:val="clear"/>
              </w:rPr>
              <w:t xml:space="preserve">Fiche de données de sécurité</w:t>
            </w:r>
          </w:p>
        </w:tc>
      </w:tr>
    </w:tbl>
    <w:p>
      <w:pPr>
        <w:widowControl w:val="false"/>
        <w:suppressAutoHyphens w:val="true"/>
        <w:spacing w:before="0" w:after="0" w:line="256"/>
        <w:ind w:right="0" w:left="0" w:firstLine="0"/>
        <w:jc w:val="left"/>
        <w:rPr>
          <w:rFonts w:ascii="Arial" w:hAnsi="Arial" w:cs="Arial" w:eastAsia="Arial"/>
          <w:color w:val="073D48"/>
          <w:spacing w:val="0"/>
          <w:position w:val="0"/>
          <w:sz w:val="36"/>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434" w:leader="none"/>
          <w:tab w:val="center" w:pos="4200" w:leader="none"/>
          <w:tab w:val="right" w:pos="958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Édité le :</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22/01/2024</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CUPIDON 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Révision : CLIENT-1-CLP du 22/01/2024</w:t>
      </w:r>
    </w:p>
    <w:p>
      <w:pPr>
        <w:widowControl w:val="false"/>
        <w:suppressAutoHyphens w:val="true"/>
        <w:spacing w:before="0" w:after="0" w:line="256"/>
        <w:ind w:right="0" w:left="0" w:firstLine="0"/>
        <w:jc w:val="left"/>
        <w:rPr>
          <w:rFonts w:ascii="Arial" w:hAnsi="Arial" w:cs="Arial" w:eastAsia="Arial"/>
          <w:color w:val="073D48"/>
          <w:spacing w:val="0"/>
          <w:position w:val="0"/>
          <w:sz w:val="10"/>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H400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Très toxique pour les organismes aquatiques.</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H410</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Très toxique pour les organismes aquatiques, entraîne des effets néfastes à long terme.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H411</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Toxique pour les organismes aquatiques, entraîne des effets néfastes à long terme.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tabs>
          <w:tab w:val="left" w:pos="56" w:leader="none"/>
          <w:tab w:val="left" w:pos="1758" w:leader="none"/>
        </w:tabs>
        <w:suppressAutoHyphens w:val="true"/>
        <w:spacing w:before="0" w:after="0" w:line="256"/>
        <w:ind w:right="0" w:left="0" w:firstLine="0"/>
        <w:jc w:val="left"/>
        <w:rPr>
          <w:rFonts w:ascii="Arial" w:hAnsi="Arial" w:cs="Arial" w:eastAsia="Arial"/>
          <w:color w:val="073D48"/>
          <w:spacing w:val="0"/>
          <w:position w:val="0"/>
          <w:sz w:val="18"/>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H412</w:t>
      </w: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8"/>
          <w:shd w:fill="auto" w:val="clear"/>
        </w:rPr>
        <w:t xml:space="preserve">Nocif pour les organismes aquatiques, entraîne des effets néfastes à long terme.</w:t>
      </w:r>
    </w:p>
    <w:p>
      <w:pPr>
        <w:widowControl w:val="false"/>
        <w:suppressAutoHyphens w:val="true"/>
        <w:spacing w:before="0" w:after="0" w:line="256"/>
        <w:ind w:right="0" w:left="0" w:firstLine="0"/>
        <w:jc w:val="left"/>
        <w:rPr>
          <w:rFonts w:ascii="Arial" w:hAnsi="Arial" w:cs="Arial" w:eastAsia="Arial"/>
          <w:color w:val="073D48"/>
          <w:spacing w:val="0"/>
          <w:position w:val="0"/>
          <w:sz w:val="8"/>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Abréviations et acronymes: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CAS: Chemical Abstracts Service.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vPvB: very Persistent, very Bioaccumulative.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p>
      <w:pPr>
        <w:widowControl w:val="false"/>
        <w:suppressAutoHyphens w:val="true"/>
        <w:spacing w:before="0" w:after="0" w:line="256"/>
        <w:ind w:right="0" w:left="0" w:firstLine="0"/>
        <w:jc w:val="both"/>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MS Shell Dlg" w:hAnsi="MS Shell Dlg" w:cs="MS Shell Dlg" w:eastAsia="MS Shell Dlg"/>
          <w:color w:val="073D48"/>
          <w:spacing w:val="0"/>
          <w:position w:val="0"/>
          <w:sz w:val="17"/>
          <w:shd w:fill="auto" w:val="clear"/>
        </w:rPr>
      </w:pPr>
    </w:p>
    <w:p>
      <w:pPr>
        <w:widowControl w:val="false"/>
        <w:tabs>
          <w:tab w:val="left" w:pos="56" w:leader="none"/>
        </w:tabs>
        <w:suppressAutoHyphens w:val="true"/>
        <w:spacing w:before="0" w:after="0" w:line="256"/>
        <w:ind w:right="0" w:left="0" w:firstLine="0"/>
        <w:jc w:val="left"/>
        <w:rPr>
          <w:rFonts w:ascii="Times New Roman" w:hAnsi="Times New Roman" w:cs="Times New Roman" w:eastAsia="Times New Roman"/>
          <w:color w:val="073D48"/>
          <w:spacing w:val="0"/>
          <w:position w:val="0"/>
          <w:sz w:val="5"/>
          <w:shd w:fill="auto" w:val="clear"/>
        </w:rPr>
      </w:pPr>
    </w:p>
    <w:p>
      <w:pPr>
        <w:widowControl w:val="false"/>
        <w:tabs>
          <w:tab w:val="left" w:pos="56" w:leader="none"/>
        </w:tabs>
        <w:suppressAutoHyphens w:val="true"/>
        <w:spacing w:before="0" w:after="0" w:line="256"/>
        <w:ind w:right="0" w:left="0" w:firstLine="0"/>
        <w:jc w:val="left"/>
        <w:rPr>
          <w:rFonts w:ascii="Arial" w:hAnsi="Arial" w:cs="Arial" w:eastAsia="Arial"/>
          <w:color w:val="073D48"/>
          <w:spacing w:val="0"/>
          <w:position w:val="0"/>
          <w:sz w:val="20"/>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20"/>
          <w:shd w:fill="auto" w:val="clear"/>
        </w:rPr>
        <w:t xml:space="preserve">Liste des points modifiés : 1.2</w:t>
        <w:tab/>
        <w:t xml:space="preserve">1.3</w:t>
        <w:tab/>
        <w:t xml:space="preserve">2.3</w:t>
        <w:tab/>
        <w:t xml:space="preserve">3.2</w:t>
        <w:tab/>
        <w:t xml:space="preserve">14.1</w:t>
        <w:tab/>
        <w:t xml:space="preserve">14.2</w:t>
        <w:tab/>
        <w:t xml:space="preserve">14.3</w:t>
        <w:tab/>
        <w:t xml:space="preserve">14.4</w:t>
        <w:tab/>
        <w:t xml:space="preserve">15.1</w:t>
      </w: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0"/>
          <w:shd w:fill="auto" w:val="clear"/>
        </w:rPr>
      </w:pPr>
    </w:p>
    <w:p>
      <w:pPr>
        <w:widowControl w:val="false"/>
        <w:suppressAutoHyphens w:val="true"/>
        <w:spacing w:before="0" w:after="0" w:line="256"/>
        <w:ind w:right="0" w:left="0" w:firstLine="0"/>
        <w:jc w:val="left"/>
        <w:rPr>
          <w:rFonts w:ascii="Arial" w:hAnsi="Arial" w:cs="Arial" w:eastAsia="Arial"/>
          <w:color w:val="073D48"/>
          <w:spacing w:val="0"/>
          <w:position w:val="0"/>
          <w:sz w:val="2"/>
          <w:shd w:fill="auto" w:val="clear"/>
        </w:rPr>
      </w:pPr>
    </w:p>
    <w:p>
      <w:pPr>
        <w:widowControl w:val="false"/>
        <w:tabs>
          <w:tab w:val="left" w:pos="56" w:leader="none"/>
          <w:tab w:val="left" w:pos="8772" w:leader="none"/>
        </w:tabs>
        <w:suppressAutoHyphens w:val="true"/>
        <w:spacing w:before="0" w:after="0" w:line="256"/>
        <w:ind w:right="0" w:left="0" w:firstLine="0"/>
        <w:jc w:val="left"/>
        <w:rPr>
          <w:rFonts w:ascii="Arial" w:hAnsi="Arial" w:cs="Arial" w:eastAsia="Arial"/>
          <w:color w:val="073D48"/>
          <w:spacing w:val="0"/>
          <w:position w:val="0"/>
          <w:sz w:val="16"/>
          <w:shd w:fill="auto" w:val="clear"/>
        </w:rPr>
      </w:pPr>
      <w:r>
        <w:rPr>
          <w:rFonts w:ascii="Times New Roman" w:hAnsi="Times New Roman" w:cs="Times New Roman" w:eastAsia="Times New Roman"/>
          <w:color w:val="073D48"/>
          <w:spacing w:val="0"/>
          <w:position w:val="0"/>
          <w:sz w:val="24"/>
          <w:shd w:fill="auto" w:val="clear"/>
        </w:rPr>
        <w:tab/>
      </w:r>
      <w:r>
        <w:rPr>
          <w:rFonts w:ascii="Arial" w:hAnsi="Arial" w:cs="Arial" w:eastAsia="Arial"/>
          <w:color w:val="073D48"/>
          <w:spacing w:val="0"/>
          <w:position w:val="0"/>
          <w:sz w:val="16"/>
          <w:shd w:fill="auto" w:val="clear"/>
        </w:rPr>
        <w:t xml:space="preserve">14/14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