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0260" w:leader="none"/>
        </w:tabs>
        <w:spacing w:before="0" w:after="0" w:line="240"/>
        <w:ind w:right="0" w:left="95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1</w:t>
        <w:tab/>
        <w:t xml:space="preserve">( 8 )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02"/>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FICHE DE DONNÉES DE SÉCURITÉ</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280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Conformément au règlement REACH CE no 1907/2006</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Produit :</w:t>
      </w:r>
      <w:r>
        <w:rPr>
          <w:rFonts w:ascii="Arial" w:hAnsi="Arial" w:cs="Arial" w:eastAsia="Arial"/>
          <w:color w:val="auto"/>
          <w:spacing w:val="0"/>
          <w:position w:val="0"/>
          <w:sz w:val="20"/>
          <w:shd w:fill="auto" w:val="clear"/>
        </w:rPr>
        <w:tab/>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Version :</w:t>
      </w:r>
      <w:r>
        <w:rPr>
          <w:rFonts w:ascii="Arial" w:hAnsi="Arial" w:cs="Arial" w:eastAsia="Arial"/>
          <w:color w:val="auto"/>
          <w:spacing w:val="0"/>
          <w:position w:val="0"/>
          <w:sz w:val="20"/>
          <w:shd w:fill="auto" w:val="clear"/>
        </w:rPr>
        <w:tab/>
        <w:t xml:space="preserve">1</w:t>
      </w:r>
    </w:p>
    <w:p>
      <w:pPr>
        <w:spacing w:before="0" w:after="0" w:line="27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19"/>
          <w:u w:val="single"/>
          <w:shd w:fill="auto" w:val="clear"/>
        </w:rPr>
        <w:t xml:space="preserve">Section 1. Identification de la substance ou du mélange et du fournisseur</w:t>
      </w:r>
    </w:p>
    <w:p>
      <w:pPr>
        <w:spacing w:before="0" w:after="0" w:line="282"/>
        <w:ind w:right="0" w:left="0" w:firstLine="0"/>
        <w:jc w:val="left"/>
        <w:rPr>
          <w:rFonts w:ascii="Calibri" w:hAnsi="Calibri" w:cs="Calibri" w:eastAsia="Calibri"/>
          <w:color w:val="auto"/>
          <w:spacing w:val="0"/>
          <w:position w:val="0"/>
          <w:sz w:val="24"/>
          <w:shd w:fill="auto" w:val="clear"/>
        </w:rPr>
      </w:pPr>
    </w:p>
    <w:tbl>
      <w:tblPr/>
      <w:tblGrid>
        <w:gridCol w:w="2020"/>
        <w:gridCol w:w="6180"/>
        <w:gridCol w:w="20"/>
        <w:gridCol w:w="2748"/>
        <w:gridCol w:w="20"/>
      </w:tblGrid>
      <w:tr>
        <w:trPr>
          <w:trHeight w:val="285"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1.1 Identificateur de produit</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Identificateur de produit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0"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Autres identificateurs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Aucun</w:t>
            </w: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8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1.2 Utilisations pertinentes identifiées de la substance du mélange et utilisations déconseillées</w:t>
            </w: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Utilisation du produit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Parfums bougies savons Lessive Diffusseurs</w:t>
            </w: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8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1.3 Coordonnées du fournisseur de la fiche de données de sécurité</w:t>
            </w: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2020"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 de l’entreprise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9" w:hRule="auto"/>
          <w:jc w:val="left"/>
        </w:trPr>
        <w:tc>
          <w:tcPr>
            <w:tcW w:w="202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00" w:type="dxa"/>
            <w:gridSpan w:val="2"/>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3" w:hRule="auto"/>
          <w:jc w:val="left"/>
        </w:trPr>
        <w:tc>
          <w:tcPr>
            <w:tcW w:w="2020"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Adresse de la société :</w:t>
            </w:r>
          </w:p>
        </w:tc>
        <w:tc>
          <w:tcPr>
            <w:tcW w:w="6200" w:type="dxa"/>
            <w:gridSpan w:val="2"/>
            <w:vMerge/>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200" w:line="276"/>
              <w:ind w:right="0" w:left="0" w:firstLine="0"/>
              <w:jc w:val="left"/>
              <w:rPr>
                <w:color w:val="auto"/>
                <w:spacing w:val="0"/>
                <w:position w:val="0"/>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7" w:hRule="auto"/>
          <w:jc w:val="left"/>
        </w:trPr>
        <w:tc>
          <w:tcPr>
            <w:tcW w:w="202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00" w:type="dxa"/>
            <w:gridSpan w:val="2"/>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5"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0" w:type="dxa"/>
            <w:gridSpan w:val="2"/>
            <w:vMerge/>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2"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3"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Contact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Adresse électronique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spacing w:val="0"/>
                <w:position w:val="0"/>
                <w:shd w:fill="auto" w:val="clear"/>
              </w:rPr>
            </w:pPr>
            <w:hyperlink xmlns:r="http://schemas.openxmlformats.org/officeDocument/2006/relationships" r:id="docRId0">
              <w:r>
                <w:rPr>
                  <w:rFonts w:ascii="Arial" w:hAnsi="Arial" w:cs="Arial" w:eastAsia="Arial"/>
                  <w:color w:val="0000FF"/>
                  <w:spacing w:val="0"/>
                  <w:position w:val="0"/>
                  <w:sz w:val="20"/>
                  <w:u w:val="single"/>
                  <w:shd w:fill="auto" w:val="clear"/>
                </w:rPr>
                <w:t xml:space="preserve">i</w:t>
              </w:r>
            </w:hyperlink>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0" w:hRule="auto"/>
          <w:jc w:val="left"/>
        </w:trPr>
        <w:tc>
          <w:tcPr>
            <w:tcW w:w="2020"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Téléphone de la société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202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00" w:type="dxa"/>
            <w:gridSpan w:val="2"/>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4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6"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00" w:type="dxa"/>
            <w:gridSpan w:val="2"/>
            <w:vMerge/>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2" w:hRule="auto"/>
          <w:jc w:val="left"/>
        </w:trPr>
        <w:tc>
          <w:tcPr>
            <w:tcW w:w="8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1.4 Numéro de téléphone d’urgence</w:t>
            </w: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6" w:hRule="auto"/>
          <w:jc w:val="left"/>
        </w:trPr>
        <w:tc>
          <w:tcPr>
            <w:tcW w:w="2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Téléphone d’urgence :</w:t>
            </w:r>
          </w:p>
        </w:tc>
        <w:tc>
          <w:tcPr>
            <w:tcW w:w="62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01709 257151</w:t>
            </w:r>
          </w:p>
        </w:tc>
        <w:tc>
          <w:tcPr>
            <w:tcW w:w="2768"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359"/>
        <w:ind w:right="0" w:left="0" w:firstLine="0"/>
        <w:jc w:val="left"/>
        <w:rPr>
          <w:rFonts w:ascii="Calibri" w:hAnsi="Calibri" w:cs="Calibri" w:eastAsia="Calibri"/>
          <w:color w:val="auto"/>
          <w:spacing w:val="0"/>
          <w:position w:val="0"/>
          <w:sz w:val="24"/>
          <w:shd w:fill="auto" w:val="clear"/>
        </w:rPr>
      </w:pPr>
    </w:p>
    <w:p>
      <w:pPr>
        <w:spacing w:before="0" w:after="0" w:line="240"/>
        <w:ind w:right="0" w:left="380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2. Identification des dangers</w:t>
      </w:r>
    </w:p>
    <w:p>
      <w:pPr>
        <w:spacing w:before="0" w:after="0" w:line="27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2.1 Classification de la substance ou du mélange</w:t>
      </w:r>
    </w:p>
    <w:p>
      <w:pPr>
        <w:spacing w:before="0" w:after="0" w:line="370"/>
        <w:ind w:right="0" w:left="0" w:firstLine="0"/>
        <w:jc w:val="left"/>
        <w:rPr>
          <w:rFonts w:ascii="Calibri" w:hAnsi="Calibri" w:cs="Calibri" w:eastAsia="Calibri"/>
          <w:color w:val="auto"/>
          <w:spacing w:val="0"/>
          <w:position w:val="0"/>
          <w:sz w:val="24"/>
          <w:shd w:fill="auto" w:val="clear"/>
        </w:rPr>
      </w:pPr>
    </w:p>
    <w:p>
      <w:pPr>
        <w:spacing w:before="0" w:after="0" w:line="240"/>
        <w:ind w:right="0" w:left="220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Classification au titre du règlement (CE) no 1272/2008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0"/>
        <w:ind w:right="0" w:left="0" w:firstLine="0"/>
        <w:jc w:val="left"/>
        <w:rPr>
          <w:rFonts w:ascii="Calibri" w:hAnsi="Calibri" w:cs="Calibri" w:eastAsia="Calibri"/>
          <w:color w:val="auto"/>
          <w:spacing w:val="0"/>
          <w:position w:val="0"/>
          <w:sz w:val="24"/>
          <w:shd w:fill="auto" w:val="clear"/>
        </w:rPr>
      </w:pPr>
    </w:p>
    <w:p>
      <w:pPr>
        <w:spacing w:before="0" w:after="0" w:line="297"/>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Classe et catégorie de danger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2.2 Éléments d’étiquette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13"/>
        <w:ind w:right="0" w:left="0" w:firstLine="0"/>
        <w:jc w:val="left"/>
        <w:rPr>
          <w:rFonts w:ascii="Calibri" w:hAnsi="Calibri" w:cs="Calibri" w:eastAsia="Calibri"/>
          <w:color w:val="auto"/>
          <w:spacing w:val="0"/>
          <w:position w:val="0"/>
          <w:sz w:val="24"/>
          <w:shd w:fill="auto" w:val="clear"/>
        </w:rPr>
      </w:pPr>
    </w:p>
    <w:p>
      <w:pPr>
        <w:spacing w:before="0" w:after="0" w:line="336"/>
        <w:ind w:right="224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Dangereux pour le milieu aquatique - Catégorie de danger à long terme 2 H411, Toxique pour la vie aquatique avec des effets durables.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Classification au titre du règlement (CE) no 1272/2008</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Mot de signal :</w:t>
      </w:r>
      <w:r>
        <w:rPr>
          <w:rFonts w:ascii="Arial" w:hAnsi="Arial" w:cs="Arial" w:eastAsia="Arial"/>
          <w:color w:val="auto"/>
          <w:spacing w:val="0"/>
          <w:position w:val="0"/>
          <w:sz w:val="20"/>
          <w:shd w:fill="auto" w:val="clear"/>
        </w:rPr>
        <w:tab/>
        <w:t xml:space="preserve">Aucun</w:t>
      </w:r>
    </w:p>
    <w:p>
      <w:pPr>
        <w:spacing w:before="0" w:after="0" w:line="270"/>
        <w:ind w:right="0" w:left="0" w:firstLine="0"/>
        <w:jc w:val="left"/>
        <w:rPr>
          <w:rFonts w:ascii="Calibri" w:hAnsi="Calibri" w:cs="Calibri" w:eastAsia="Calibri"/>
          <w:color w:val="auto"/>
          <w:spacing w:val="0"/>
          <w:position w:val="0"/>
          <w:sz w:val="24"/>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Mentions de danger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H411, Toxique pour la vie aquatique avec des effets durables.</w:t>
      </w:r>
    </w:p>
    <w:p>
      <w:pPr>
        <w:spacing w:before="0" w:after="0" w:line="270"/>
        <w:ind w:right="0" w:left="0" w:firstLine="0"/>
        <w:jc w:val="left"/>
        <w:rPr>
          <w:rFonts w:ascii="Calibri" w:hAnsi="Calibri" w:cs="Calibri" w:eastAsia="Calibri"/>
          <w:color w:val="auto"/>
          <w:spacing w:val="0"/>
          <w:position w:val="0"/>
          <w:sz w:val="24"/>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19"/>
          <w:shd w:fill="auto" w:val="clear"/>
        </w:rPr>
        <w:t xml:space="preserve">Supplément</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EUH208, contient du salicylate d’hexyle, de l’acétate de linalyle et du salicilate de benzyle,</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Information :</w:t>
      </w:r>
      <w:r>
        <w:rPr>
          <w:rFonts w:ascii="Arial" w:hAnsi="Arial" w:cs="Arial" w:eastAsia="Arial"/>
          <w:color w:val="auto"/>
          <w:spacing w:val="0"/>
          <w:position w:val="0"/>
          <w:sz w:val="20"/>
          <w:shd w:fill="auto" w:val="clear"/>
        </w:rPr>
        <w:tab/>
        <w:t xml:space="preserve">hélional, limonène, linalol. Peut provoquer une réaction allergique.</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Précaution</w:t>
      </w:r>
      <w:r>
        <w:rPr>
          <w:rFonts w:ascii="Arial" w:hAnsi="Arial" w:cs="Arial" w:eastAsia="Arial"/>
          <w:color w:val="auto"/>
          <w:spacing w:val="0"/>
          <w:position w:val="0"/>
          <w:sz w:val="20"/>
          <w:shd w:fill="auto" w:val="clear"/>
        </w:rPr>
        <w:tab/>
        <w:t xml:space="preserve">P273, Éviter la libération dans l’environnement.</w:t>
      </w: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31"/>
          <w:shd w:fill="auto" w:val="clear"/>
          <w:vertAlign w:val="superscript"/>
        </w:rPr>
        <w:t xml:space="preserve">énoncés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7"/>
          <w:shd w:fill="auto" w:val="clear"/>
        </w:rPr>
        <w:t xml:space="preserve">P391, Recueillir le déversement.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220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P501, Éliminer le contenu/conteneur au site d’élimination approuvé, conformément à la</w:t>
      </w:r>
    </w:p>
    <w:p>
      <w:pPr>
        <w:spacing w:before="0" w:after="0" w:line="240"/>
        <w:ind w:right="0" w:left="0" w:firstLine="0"/>
        <w:jc w:val="left"/>
        <w:rPr>
          <w:rFonts w:ascii="Calibri" w:hAnsi="Calibri" w:cs="Calibri" w:eastAsia="Calibri"/>
          <w:color w:val="auto"/>
          <w:spacing w:val="0"/>
          <w:position w:val="0"/>
          <w:sz w:val="24"/>
          <w:shd w:fill="auto" w:val="clear"/>
        </w:rPr>
      </w:pPr>
      <w:r>
        <w:object w:dxaOrig="10272" w:dyaOrig="9">
          <v:rect xmlns:o="urn:schemas-microsoft-com:office:office" xmlns:v="urn:schemas-microsoft-com:vml" id="rectole0000000000" style="width:513.600000pt;height:0.4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326"/>
        <w:ind w:right="0" w:left="0" w:firstLine="0"/>
        <w:jc w:val="left"/>
        <w:rPr>
          <w:rFonts w:ascii="Calibri" w:hAnsi="Calibri" w:cs="Calibri" w:eastAsia="Calibri"/>
          <w:color w:val="auto"/>
          <w:spacing w:val="0"/>
          <w:position w:val="0"/>
          <w:sz w:val="24"/>
          <w:shd w:fill="auto" w:val="clear"/>
        </w:rPr>
      </w:pPr>
    </w:p>
    <w:p>
      <w:pPr>
        <w:spacing w:before="0" w:after="0" w:line="240"/>
        <w:ind w:right="0" w:left="20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10272" w:dyaOrig="9">
          <v:rect xmlns:o="urn:schemas-microsoft-com:office:office" xmlns:v="urn:schemas-microsoft-com:vml" id="rectole0000000001" style="width:513.600000pt;height:0.4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3"/>
        <w:ind w:right="0" w:left="0" w:firstLine="0"/>
        <w:jc w:val="left"/>
        <w:rPr>
          <w:rFonts w:ascii="Calibri" w:hAnsi="Calibri" w:cs="Calibri" w:eastAsia="Calibri"/>
          <w:color w:val="auto"/>
          <w:spacing w:val="0"/>
          <w:position w:val="0"/>
          <w:sz w:val="20"/>
          <w:shd w:fill="auto" w:val="clear"/>
        </w:rPr>
      </w:pPr>
    </w:p>
    <w:tbl>
      <w:tblPr>
        <w:tblInd w:w="40" w:type="dxa"/>
      </w:tblPr>
      <w:tblGrid>
        <w:gridCol w:w="2600"/>
        <w:gridCol w:w="4240"/>
        <w:gridCol w:w="2768"/>
      </w:tblGrid>
      <w:tr>
        <w:trPr>
          <w:trHeight w:val="245" w:hRule="auto"/>
          <w:jc w:val="left"/>
        </w:trPr>
        <w:tc>
          <w:tcPr>
            <w:tcW w:w="2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240" w:firstLine="0"/>
              <w:jc w:val="left"/>
              <w:rPr>
                <w:color w:val="auto"/>
                <w:spacing w:val="0"/>
                <w:position w:val="0"/>
                <w:shd w:fill="auto" w:val="clear"/>
              </w:rPr>
            </w:pPr>
            <w:r>
              <w:rPr>
                <w:rFonts w:ascii="Arial" w:hAnsi="Arial" w:cs="Arial" w:eastAsia="Arial"/>
                <w:b/>
                <w:color w:val="auto"/>
                <w:spacing w:val="0"/>
                <w:position w:val="0"/>
                <w:sz w:val="28"/>
                <w:shd w:fill="auto" w:val="clear"/>
              </w:rPr>
              <w:t xml:space="preserve">FICHE DE DONNÉES DE SÉCURITÉ</w:t>
            </w:r>
          </w:p>
        </w:tc>
        <w:tc>
          <w:tcPr>
            <w:tcW w:w="276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74" w:hRule="auto"/>
          <w:jc w:val="left"/>
        </w:trPr>
        <w:tc>
          <w:tcPr>
            <w:tcW w:w="2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6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28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9"/>
          <w:shd w:fill="auto" w:val="clear"/>
        </w:rPr>
        <w:t xml:space="preserve">Conformément au règlement REACH CE no 1907/2006</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420" w:leader="none"/>
        </w:tabs>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Produit :</w:t>
      </w:r>
      <w:r>
        <w:rPr>
          <w:rFonts w:ascii="Arial" w:hAnsi="Arial" w:cs="Arial" w:eastAsia="Arial"/>
          <w:color w:val="auto"/>
          <w:spacing w:val="0"/>
          <w:position w:val="0"/>
          <w:sz w:val="20"/>
          <w:shd w:fill="auto" w:val="clear"/>
        </w:rPr>
        <w:tab/>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420" w:leader="none"/>
        </w:tabs>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Version :</w:t>
      </w:r>
      <w:r>
        <w:rPr>
          <w:rFonts w:ascii="Arial" w:hAnsi="Arial" w:cs="Arial" w:eastAsia="Arial"/>
          <w:color w:val="auto"/>
          <w:spacing w:val="0"/>
          <w:position w:val="0"/>
          <w:sz w:val="20"/>
          <w:shd w:fill="auto" w:val="clear"/>
        </w:rPr>
        <w:tab/>
        <w:t xml:space="preserve">1</w:t>
      </w:r>
    </w:p>
    <w:p>
      <w:pPr>
        <w:spacing w:before="0" w:after="0" w:line="273"/>
        <w:ind w:right="0" w:left="0" w:firstLine="0"/>
        <w:jc w:val="left"/>
        <w:rPr>
          <w:rFonts w:ascii="Calibri" w:hAnsi="Calibri" w:cs="Calibri" w:eastAsia="Calibri"/>
          <w:color w:val="auto"/>
          <w:spacing w:val="0"/>
          <w:position w:val="0"/>
          <w:sz w:val="20"/>
          <w:shd w:fill="auto" w:val="clear"/>
        </w:rPr>
      </w:pPr>
    </w:p>
    <w:p>
      <w:pPr>
        <w:spacing w:before="0" w:after="0" w:line="240"/>
        <w:ind w:right="0" w:left="22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règlements.</w:t>
      </w:r>
    </w:p>
    <w:p>
      <w:pPr>
        <w:spacing w:before="0" w:after="0" w:line="240"/>
        <w:ind w:right="0" w:left="0" w:firstLine="0"/>
        <w:jc w:val="left"/>
        <w:rPr>
          <w:rFonts w:ascii="Calibri" w:hAnsi="Calibri" w:cs="Calibri" w:eastAsia="Calibri"/>
          <w:color w:val="auto"/>
          <w:spacing w:val="0"/>
          <w:position w:val="0"/>
          <w:sz w:val="20"/>
          <w:shd w:fill="auto" w:val="clear"/>
        </w:rPr>
      </w:pPr>
      <w:r>
        <w:object w:dxaOrig="1632" w:dyaOrig="1629">
          <v:rect xmlns:o="urn:schemas-microsoft-com:office:office" xmlns:v="urn:schemas-microsoft-com:vml" id="rectole0000000002" style="width:81.600000pt;height:81.4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7"/>
        <w:ind w:right="0" w:left="0" w:firstLine="0"/>
        <w:jc w:val="left"/>
        <w:rPr>
          <w:rFonts w:ascii="Calibri" w:hAnsi="Calibri" w:cs="Calibri" w:eastAsia="Calibri"/>
          <w:color w:val="auto"/>
          <w:spacing w:val="0"/>
          <w:position w:val="0"/>
          <w:sz w:val="20"/>
          <w:shd w:fill="auto" w:val="clear"/>
        </w:rPr>
      </w:pPr>
    </w:p>
    <w:p>
      <w:pPr>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Pictogrammes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438"/>
        <w:ind w:right="0" w:left="0" w:firstLine="57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2 (8 ) Date de parution : 11/08/2021 Version : 1 (11/08/2021)</w:t>
      </w:r>
    </w:p>
    <w:p>
      <w:pPr>
        <w:spacing w:before="0" w:after="0" w:line="3865"/>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2.3 Autres dangers</w:t>
      </w:r>
    </w:p>
    <w:p>
      <w:pPr>
        <w:spacing w:before="0" w:after="0" w:line="370"/>
        <w:ind w:right="0" w:left="0" w:firstLine="0"/>
        <w:jc w:val="left"/>
        <w:rPr>
          <w:rFonts w:ascii="Calibri" w:hAnsi="Calibri" w:cs="Calibri" w:eastAsia="Calibri"/>
          <w:color w:val="auto"/>
          <w:spacing w:val="0"/>
          <w:position w:val="0"/>
          <w:sz w:val="20"/>
          <w:shd w:fill="auto" w:val="clear"/>
        </w:rPr>
      </w:pPr>
    </w:p>
    <w:p>
      <w:pPr>
        <w:tabs>
          <w:tab w:val="left" w:pos="2200" w:leader="none"/>
        </w:tabs>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Autres dangers :</w:t>
      </w:r>
      <w:r>
        <w:rPr>
          <w:rFonts w:ascii="Arial" w:hAnsi="Arial" w:cs="Arial" w:eastAsia="Arial"/>
          <w:color w:val="auto"/>
          <w:spacing w:val="0"/>
          <w:position w:val="0"/>
          <w:sz w:val="20"/>
          <w:shd w:fill="auto" w:val="clear"/>
        </w:rPr>
        <w:tab/>
        <w:t xml:space="preserve">Aucun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3. Composition/ renseignements sur les ingrédients</w:t>
      </w:r>
    </w:p>
    <w:p>
      <w:pPr>
        <w:spacing w:before="0" w:after="0" w:line="270"/>
        <w:ind w:right="0" w:left="0" w:firstLine="0"/>
        <w:jc w:val="left"/>
        <w:rPr>
          <w:rFonts w:ascii="Calibri" w:hAnsi="Calibri" w:cs="Calibri" w:eastAsia="Calibri"/>
          <w:color w:val="auto"/>
          <w:spacing w:val="0"/>
          <w:position w:val="0"/>
          <w:sz w:val="20"/>
          <w:shd w:fill="auto" w:val="clear"/>
        </w:rPr>
      </w:pPr>
    </w:p>
    <w:tbl>
      <w:tblPr>
        <w:tblInd w:w="10" w:type="dxa"/>
      </w:tblPr>
      <w:tblGrid>
        <w:gridCol w:w="1840"/>
        <w:gridCol w:w="1000"/>
        <w:gridCol w:w="1000"/>
        <w:gridCol w:w="2000"/>
        <w:gridCol w:w="1000"/>
        <w:gridCol w:w="1740"/>
        <w:gridCol w:w="1186"/>
      </w:tblGrid>
      <w:tr>
        <w:trPr>
          <w:trHeight w:val="285" w:hRule="auto"/>
          <w:jc w:val="left"/>
        </w:trPr>
        <w:tc>
          <w:tcPr>
            <w:tcW w:w="18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3.2 Mélanges</w:t>
            </w:r>
          </w:p>
        </w:tc>
        <w:tc>
          <w:tcPr>
            <w:tcW w:w="1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0" w:hRule="auto"/>
          <w:jc w:val="left"/>
        </w:trPr>
        <w:tc>
          <w:tcPr>
            <w:tcW w:w="18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Contient :</w:t>
            </w:r>
          </w:p>
        </w:tc>
        <w:tc>
          <w:tcPr>
            <w:tcW w:w="1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 w:hRule="auto"/>
          <w:jc w:val="left"/>
        </w:trPr>
        <w:tc>
          <w:tcPr>
            <w:tcW w:w="184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9"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6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CAS</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298"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EC</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Enregistrement REACH</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338"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Classification pour</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9"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No.</w:t>
            </w: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color w:val="auto"/>
                <w:spacing w:val="0"/>
                <w:position w:val="0"/>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8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(CLP) 1272/2008</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2"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4" w:hRule="auto"/>
          <w:jc w:val="left"/>
        </w:trPr>
        <w:tc>
          <w:tcPr>
            <w:tcW w:w="184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1,3,4,6,7,8-hexahydrode</w:t>
            </w: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4" w:hRule="auto"/>
          <w:jc w:val="left"/>
        </w:trPr>
        <w:tc>
          <w:tcPr>
            <w:tcW w:w="184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4,6,6,7,8,8-</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1222-05-5</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214-946-9</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1.05%</w:t>
            </w: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EH A1-EH C1;H410,-</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hexaméthylcyclopenta</w:t>
            </w: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color w:val="auto"/>
                <w:spacing w:val="0"/>
                <w:position w:val="0"/>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color w:val="auto"/>
                <w:spacing w:val="0"/>
                <w:position w:val="0"/>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7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 -2-benzopyran</w:t>
            </w: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8"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-benzylsalicylate</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118-58-1</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204-262-9</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0.89%</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SS 1B-EH C3;H317-</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8"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ISO E SUPER</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0.49%</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SCI 2-SS 1B-EH C1;</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H315-H317-H410,-</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8"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Acétate de linalyle</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115-95-7</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204-116-4</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0.24%</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SCI 2-SS 1B;H315-</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2" w:hRule="auto"/>
          <w:jc w:val="left"/>
        </w:trPr>
        <w:tc>
          <w:tcPr>
            <w:tcW w:w="184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HEXENYL SALICYLATE</w:t>
            </w: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65405-77-8</w:t>
            </w: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265-745-8</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0.20%</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EH A1-EH C1;H410,-</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1"/>
                <w:shd w:fill="auto" w:val="clear"/>
              </w:rPr>
              <w:t xml:space="preserve">CIS 3</w:t>
            </w: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8"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HEXYLSALICYLATE</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6259-76-3</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228-408-6</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0.19%</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SCI 2-SS 1-EH A1-EH</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C1;H315-H317-H410,-</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2" w:hRule="auto"/>
          <w:jc w:val="left"/>
        </w:trPr>
        <w:tc>
          <w:tcPr>
            <w:tcW w:w="184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AMBRETTOLIDE</w:t>
            </w: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28645-51-4</w:t>
            </w: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249-120-7</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0.16%</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EH A1-EH C1;H410,-</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4" w:hRule="auto"/>
          <w:jc w:val="left"/>
        </w:trPr>
        <w:tc>
          <w:tcPr>
            <w:tcW w:w="184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 3-SCI 2-SS 1B-AH</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4"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limonène</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5989-27-5</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227-813-5</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0.11%</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1-EH A1-EH C1;H226-</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H304-H315-H317-</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 w:hRule="auto"/>
          <w:jc w:val="left"/>
        </w:trPr>
        <w:tc>
          <w:tcPr>
            <w:tcW w:w="184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7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8"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hélional</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1205-17-0</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214-881-6</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0.11%</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SS 1B-REP 2-EH C2;</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H317-H361-H411,-</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8" w:hRule="auto"/>
          <w:jc w:val="left"/>
        </w:trPr>
        <w:tc>
          <w:tcPr>
            <w:tcW w:w="184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linalool</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19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458"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0.10%</w:t>
            </w:r>
          </w:p>
        </w:tc>
        <w:tc>
          <w:tcPr>
            <w:tcW w:w="174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SCI 2-EDI 2-SS 1B;</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84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H315-H317-H319,-</w:t>
            </w: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184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40" w:type="dxa"/>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r>
        <w:object w:dxaOrig="8187" w:dyaOrig="501">
          <v:rect xmlns:o="urn:schemas-microsoft-com:office:office" xmlns:v="urn:schemas-microsoft-com:vml" id="rectole0000000003" style="width:409.350000pt;height:25.05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Substances avec des limites d’exposition en milieu de travail communautaire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Sans objet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95"/>
        <w:ind w:right="160" w:left="4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Substances persistantes, bioaccumulables et toxiques ou très persistantes et très bioaccumulables, supérieures à 0,1 %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Sans objet</w:t>
      </w: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04" style="width:513.600000pt;height:0.45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59"/>
        <w:ind w:right="0" w:left="0" w:firstLine="0"/>
        <w:jc w:val="left"/>
        <w:rPr>
          <w:rFonts w:ascii="Calibri" w:hAnsi="Calibri" w:cs="Calibri" w:eastAsia="Calibri"/>
          <w:color w:val="auto"/>
          <w:spacing w:val="0"/>
          <w:position w:val="0"/>
          <w:sz w:val="20"/>
          <w:shd w:fill="auto" w:val="clear"/>
        </w:rPr>
      </w:pPr>
    </w:p>
    <w:p>
      <w:pPr>
        <w:spacing w:before="0" w:after="0" w:line="240"/>
        <w:ind w:right="0" w:left="142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05" style="width:513.600000pt;height:0.45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5" ShapeID="rectole0000000005" r:id="docRId11"/>
        </w:objec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0260" w:leader="none"/>
        </w:tabs>
        <w:spacing w:before="0" w:after="0" w:line="240"/>
        <w:ind w:right="0" w:left="95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3</w:t>
        <w:tab/>
        <w:t xml:space="preserve">( 8 )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0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FICHE DE DONNÉES DE SÉCURITÉ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280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Conformément au règlement REACH CE no 1907/2006</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Produit :</w:t>
      </w:r>
      <w:r>
        <w:rPr>
          <w:rFonts w:ascii="Arial" w:hAnsi="Arial" w:cs="Arial" w:eastAsia="Arial"/>
          <w:color w:val="auto"/>
          <w:spacing w:val="0"/>
          <w:position w:val="0"/>
          <w:sz w:val="20"/>
          <w:shd w:fill="auto" w:val="clear"/>
        </w:rPr>
        <w:tab/>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Version :</w:t>
      </w:r>
      <w:r>
        <w:rPr>
          <w:rFonts w:ascii="Arial" w:hAnsi="Arial" w:cs="Arial" w:eastAsia="Arial"/>
          <w:color w:val="auto"/>
          <w:spacing w:val="0"/>
          <w:position w:val="0"/>
          <w:sz w:val="20"/>
          <w:shd w:fill="auto" w:val="clear"/>
        </w:rPr>
        <w:tab/>
        <w:t xml:space="preserve">1</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4. Mesures de premiers secours</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4.1 Description des mesures de premiers secours</w:t>
      </w:r>
    </w:p>
    <w:p>
      <w:pPr>
        <w:spacing w:before="0" w:after="0" w:line="250"/>
        <w:ind w:right="0" w:left="0" w:firstLine="0"/>
        <w:jc w:val="left"/>
        <w:rPr>
          <w:rFonts w:ascii="Calibri" w:hAnsi="Calibri" w:cs="Calibri" w:eastAsia="Calibri"/>
          <w:color w:val="auto"/>
          <w:spacing w:val="0"/>
          <w:position w:val="0"/>
          <w:sz w:val="20"/>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Inhalation :</w:t>
      </w:r>
      <w:r>
        <w:rPr>
          <w:rFonts w:ascii="Arial" w:hAnsi="Arial" w:cs="Arial" w:eastAsia="Arial"/>
          <w:color w:val="auto"/>
          <w:spacing w:val="0"/>
          <w:position w:val="0"/>
          <w:sz w:val="20"/>
          <w:shd w:fill="auto" w:val="clear"/>
        </w:rPr>
        <w:tab/>
        <w:t xml:space="preserve">Retirer du site d’exposition à l’air frais, le garder au repos et obtenir des soins médicaux.</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Exposition des yeux :</w:t>
      </w:r>
      <w:r>
        <w:rPr>
          <w:rFonts w:ascii="Arial" w:hAnsi="Arial" w:cs="Arial" w:eastAsia="Arial"/>
          <w:color w:val="auto"/>
          <w:spacing w:val="0"/>
          <w:position w:val="0"/>
          <w:sz w:val="20"/>
          <w:shd w:fill="auto" w:val="clear"/>
        </w:rPr>
        <w:tab/>
        <w:t xml:space="preserve">Rincer immédiatement avec de l’eau pendant au moins 15 minutes. Contacter un médecin si les symptômes persistent.</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2180" w:leader="none"/>
        </w:tabs>
        <w:spacing w:before="0" w:after="0" w:line="260"/>
        <w:ind w:right="420" w:left="2200" w:hanging="2199"/>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Exposition cutanée :</w:t>
      </w:r>
      <w:r>
        <w:rPr>
          <w:rFonts w:ascii="Arial" w:hAnsi="Arial" w:cs="Arial" w:eastAsia="Arial"/>
          <w:color w:val="auto"/>
          <w:spacing w:val="0"/>
          <w:position w:val="0"/>
          <w:sz w:val="20"/>
          <w:shd w:fill="auto" w:val="clear"/>
        </w:rPr>
        <w:tab/>
        <w:t xml:space="preserve">Retirer les vêtements contaminés. Laver soigneusement avec de l’eau et du savon. Contacter un médecin si l’irritation persiste.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2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Ingestion :</w:t>
      </w:r>
      <w:r>
        <w:rPr>
          <w:rFonts w:ascii="Arial" w:hAnsi="Arial" w:cs="Arial" w:eastAsia="Arial"/>
          <w:color w:val="auto"/>
          <w:spacing w:val="0"/>
          <w:position w:val="0"/>
          <w:sz w:val="20"/>
          <w:shd w:fill="auto" w:val="clear"/>
        </w:rPr>
        <w:tab/>
        <w:t xml:space="preserve">Rincer la bouche avec de l’eau et consulter un médecin.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464"/>
        <w:ind w:right="440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4.2 Symptômes et effets les plus importants, tant aigus que retardés Aucun effet</w:t>
      </w:r>
      <w:r>
        <w:rPr>
          <w:rFonts w:ascii="Arial" w:hAnsi="Arial" w:cs="Arial" w:eastAsia="Arial"/>
          <w:color w:val="auto"/>
          <w:spacing w:val="0"/>
          <w:position w:val="0"/>
          <w:sz w:val="20"/>
          <w:shd w:fill="auto" w:val="clear"/>
        </w:rPr>
        <w:t xml:space="preserve"> n’est attendu, voir la section 4.1 pour de plus amples informations.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464"/>
        <w:ind w:right="314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4.3 Indication de toute attention médicale immédiate et de tout traitement spécial requis</w:t>
      </w:r>
      <w:r>
        <w:rPr>
          <w:rFonts w:ascii="Arial" w:hAnsi="Arial" w:cs="Arial" w:eastAsia="Arial"/>
          <w:color w:val="auto"/>
          <w:spacing w:val="0"/>
          <w:position w:val="0"/>
          <w:sz w:val="20"/>
          <w:shd w:fill="auto" w:val="clear"/>
        </w:rPr>
        <w:t xml:space="preserve"> Aucun prévu, voir la section 4.1 pour plus d’informations. </w:t>
      </w:r>
    </w:p>
    <w:p>
      <w:pPr>
        <w:spacing w:before="0" w:after="0" w:line="304"/>
        <w:ind w:right="0" w:left="0" w:firstLine="0"/>
        <w:jc w:val="left"/>
        <w:rPr>
          <w:rFonts w:ascii="Calibri" w:hAnsi="Calibri" w:cs="Calibri" w:eastAsia="Calibri"/>
          <w:color w:val="auto"/>
          <w:spacing w:val="0"/>
          <w:position w:val="0"/>
          <w:sz w:val="20"/>
          <w:shd w:fill="auto" w:val="clear"/>
        </w:rPr>
      </w:pPr>
    </w:p>
    <w:tbl>
      <w:tblPr/>
      <w:tblGrid>
        <w:gridCol w:w="300"/>
        <w:gridCol w:w="1480"/>
        <w:gridCol w:w="1240"/>
        <w:gridCol w:w="680"/>
        <w:gridCol w:w="3260"/>
        <w:gridCol w:w="820"/>
        <w:gridCol w:w="20"/>
      </w:tblGrid>
      <w:tr>
        <w:trPr>
          <w:trHeight w:val="230" w:hRule="auto"/>
          <w:jc w:val="left"/>
        </w:trPr>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SECTION 5 : Mesures de lutte contre les incendies</w:t>
            </w:r>
          </w:p>
        </w:tc>
      </w:tr>
      <w:tr>
        <w:trPr>
          <w:trHeight w:val="542" w:hRule="auto"/>
          <w:jc w:val="left"/>
        </w:trPr>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5.1</w:t>
            </w:r>
          </w:p>
        </w:tc>
        <w:tc>
          <w:tcPr>
            <w:tcW w:w="272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Milieu d’extinction</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8"/>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0" w:hRule="auto"/>
          <w:jc w:val="left"/>
        </w:trPr>
        <w:tc>
          <w:tcPr>
            <w:tcW w:w="17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Médias appropriés :</w:t>
            </w:r>
          </w:p>
        </w:tc>
        <w:tc>
          <w:tcPr>
            <w:tcW w:w="6000" w:type="dxa"/>
            <w:gridSpan w:val="4"/>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42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Dioxyde de carbone, produit chimique sec, mousse.</w:t>
            </w:r>
          </w:p>
        </w:tc>
      </w:tr>
      <w:tr>
        <w:trPr>
          <w:trHeight w:val="410" w:hRule="auto"/>
          <w:jc w:val="left"/>
        </w:trPr>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5.2</w:t>
            </w:r>
          </w:p>
        </w:tc>
        <w:tc>
          <w:tcPr>
            <w:tcW w:w="7480"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Dangers particuliers liés à la substance ou au mélange</w:t>
            </w:r>
          </w:p>
        </w:tc>
      </w:tr>
      <w:tr>
        <w:trPr>
          <w:trHeight w:val="410" w:hRule="auto"/>
          <w:jc w:val="left"/>
        </w:trPr>
        <w:tc>
          <w:tcPr>
            <w:tcW w:w="3020"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En cas d’incendie, peuvent être libérés :</w:t>
            </w:r>
          </w:p>
        </w:tc>
        <w:tc>
          <w:tcPr>
            <w:tcW w:w="4760"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8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Monoxyde de carbone, composés organiques non identifiés.</w:t>
            </w:r>
          </w:p>
        </w:tc>
      </w:tr>
      <w:tr>
        <w:trPr>
          <w:trHeight w:val="410" w:hRule="auto"/>
          <w:jc w:val="left"/>
        </w:trPr>
        <w:tc>
          <w:tcPr>
            <w:tcW w:w="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5.3</w:t>
            </w:r>
          </w:p>
        </w:tc>
        <w:tc>
          <w:tcPr>
            <w:tcW w:w="272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Conseils pour les pompiers :</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 cas de ventilation insuffisante, porter un équipement respiratoire approprié.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7"/>
        <w:ind w:right="0" w:left="0" w:firstLine="0"/>
        <w:jc w:val="left"/>
        <w:rPr>
          <w:rFonts w:ascii="Calibri" w:hAnsi="Calibri" w:cs="Calibri" w:eastAsia="Calibri"/>
          <w:color w:val="auto"/>
          <w:spacing w:val="0"/>
          <w:position w:val="0"/>
          <w:sz w:val="20"/>
          <w:shd w:fill="auto" w:val="clear"/>
        </w:rPr>
      </w:pPr>
    </w:p>
    <w:p>
      <w:pPr>
        <w:spacing w:before="0" w:after="0" w:line="481"/>
        <w:ind w:right="3460" w:left="0" w:firstLine="0"/>
        <w:jc w:val="righ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6. Mesures de libération accidentelle</w:t>
      </w:r>
      <w:r>
        <w:rPr>
          <w:rFonts w:ascii="Arial" w:hAnsi="Arial" w:cs="Arial" w:eastAsia="Arial"/>
          <w:b/>
          <w:color w:val="auto"/>
          <w:spacing w:val="0"/>
          <w:position w:val="0"/>
          <w:sz w:val="20"/>
          <w:shd w:fill="auto" w:val="clear"/>
        </w:rPr>
        <w:t xml:space="preserve"> 6.1 Précautions personnelles, équipement de protection et procédures d’urgence :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Éviter l’inhalation. Éviter le contact avec la peau et les yeux. Voir les mesures de protection aux sections 7 et 8.</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6.2 Précautions environnementales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Tenir à l’écart des drains, des eaux de surface et souterraines et du sol.</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6.3 Méthodes et matériel de confinement et de nettoyage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79"/>
        <w:ind w:right="92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Retirer les sources d’inflammation. Fournir une ventilation adéquate. Éviter une inhalation excessive de vapeurs. Contenir les déversements immédiatement par l’utilisation de sable ou de poudre inerte. Disposer de la substance conformément à la réglementation locale.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6.4 Référence à d’autres sections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Voir aussi les sections 8 et 13.</w:t>
      </w: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06" style="width:513.600000pt;height:0.45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6" ShapeID="rectole0000000006" r:id="docRId13"/>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2"/>
        <w:ind w:right="0" w:left="0" w:firstLine="0"/>
        <w:jc w:val="left"/>
        <w:rPr>
          <w:rFonts w:ascii="Calibri" w:hAnsi="Calibri" w:cs="Calibri" w:eastAsia="Calibri"/>
          <w:color w:val="auto"/>
          <w:spacing w:val="0"/>
          <w:position w:val="0"/>
          <w:sz w:val="20"/>
          <w:shd w:fill="auto" w:val="clear"/>
        </w:rPr>
      </w:pPr>
    </w:p>
    <w:p>
      <w:pPr>
        <w:spacing w:before="0" w:after="0" w:line="240"/>
        <w:ind w:right="0" w:left="138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07" style="width:513.600000pt;height:0.45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7" ShapeID="rectole0000000007" r:id="docRId15"/>
        </w:objec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0260" w:leader="none"/>
        </w:tabs>
        <w:spacing w:before="0" w:after="0" w:line="240"/>
        <w:ind w:right="0" w:left="95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4</w:t>
        <w:tab/>
        <w:t xml:space="preserve">( 8 )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0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FICHE DE DONNÉES DE SÉCURITÉ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280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Conformément au règlement REACH CE no 1907/2006</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44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Produit :</w:t>
      </w:r>
      <w:r>
        <w:rPr>
          <w:rFonts w:ascii="Arial" w:hAnsi="Arial" w:cs="Arial" w:eastAsia="Arial"/>
          <w:color w:val="auto"/>
          <w:spacing w:val="0"/>
          <w:position w:val="0"/>
          <w:sz w:val="20"/>
          <w:shd w:fill="auto" w:val="clear"/>
        </w:rPr>
        <w:tab/>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Version :</w:t>
      </w:r>
      <w:r>
        <w:rPr>
          <w:rFonts w:ascii="Arial" w:hAnsi="Arial" w:cs="Arial" w:eastAsia="Arial"/>
          <w:color w:val="auto"/>
          <w:spacing w:val="0"/>
          <w:position w:val="0"/>
          <w:sz w:val="20"/>
          <w:shd w:fill="auto" w:val="clear"/>
        </w:rPr>
        <w:tab/>
        <w:t xml:space="preserve">1</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7. Manutention et stockage</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7.1 Précautions pour une manipulation sécuritaire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62"/>
        <w:ind w:right="54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Tenir à l’écart de la chaleur, des étincelles, des flammes nues et des surfaces chaudes. - Ne pas fumer. Utiliser un équipement de protection individuelle au besoin. Utilisation conforme aux bonnes pratiques de fabrication et d’hygiène industrielle. Utiliser dans des endroits avec une ventilation adéquate Ne pas manger, boire ou fumer lorsque vous utilisez ce produit.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7.2 Conditions de stockage en toute sécurité, y compris les incompatibilités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62"/>
        <w:ind w:right="84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Entreposer dans un endroit bien aéré. Garder le contenant bien fermé. Garder la tête froide. Conteneur de terre/liaison et équipement récepteur. Utiliser des équipements électriques, de ventilation et d’éclairage antidéflagrants. Utiliser uniquement des outils non étincelants. Prendre des mesures de précaution contre les décharges statiques.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7.3 Utilisation(s) finale spécifique(s)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Parfums : Utiliser conformément aux bonnes pratiques de fabrication et d’hygiène industrielle.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8. Mesures de contrôle/protection individuelle</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8.1 Paramètres de contrôle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1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Limites d’exposition en milieu de travail :</w:t>
        <w:tab/>
      </w:r>
      <w:r>
        <w:rPr>
          <w:rFonts w:ascii="Arial" w:hAnsi="Arial" w:cs="Arial" w:eastAsia="Arial"/>
          <w:color w:val="auto"/>
          <w:spacing w:val="0"/>
          <w:position w:val="0"/>
          <w:sz w:val="19"/>
          <w:shd w:fill="auto" w:val="clear"/>
        </w:rPr>
        <w:t xml:space="preserve">Sans objet</w:t>
      </w:r>
    </w:p>
    <w:p>
      <w:pPr>
        <w:spacing w:before="0" w:after="0" w:line="296"/>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8.2 Contrôles d’exposition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Protection des yeux et de la peau</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Porter des gants de protection/protection oculaire/protection faciale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Protection respiratoire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8"/>
        <w:ind w:right="12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Dans des conditions normales d’utilisation et lorsque la ventilation est suffisante pour éviter l’accumulation de vapeur excessive, ce matériau ne devrait pas nécessiter de contrôles techniques spéciaux. Toutefois, dans des conditions d’utilisation élevée ou prolongée, ou de température élevée ou d’autres conditions qui augmentent l’exposition, les contrôles techniques suivants peuvent être utilisés pour réduire au minimum l’exposition du personnel : a) Augmenter la ventilation de la zone avec une ventilation par évacuation locale. b) Le personnel peut utiliser un appareil respiratoire approuvé, équipé de manière appropriée et muni d’une cartouche à vapeur organique ou de récipients et de filtres à particules. c) Utiliser des systèmes fermés pour le transfert et la transformation de ce matériau.</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Voir également les sections 2 et 7.</w:t>
      </w:r>
    </w:p>
    <w:p>
      <w:pPr>
        <w:spacing w:before="0" w:after="0" w:line="266"/>
        <w:ind w:right="0" w:left="0" w:firstLine="0"/>
        <w:jc w:val="left"/>
        <w:rPr>
          <w:rFonts w:ascii="Calibri" w:hAnsi="Calibri" w:cs="Calibri" w:eastAsia="Calibri"/>
          <w:color w:val="auto"/>
          <w:spacing w:val="0"/>
          <w:position w:val="0"/>
          <w:sz w:val="20"/>
          <w:shd w:fill="auto" w:val="clear"/>
        </w:rPr>
      </w:pPr>
    </w:p>
    <w:p>
      <w:pPr>
        <w:spacing w:before="0" w:after="0" w:line="480"/>
        <w:ind w:right="3260" w:left="0" w:firstLine="3248"/>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9. Propriétés physiques et chimiques</w:t>
      </w:r>
      <w:r>
        <w:rPr>
          <w:rFonts w:ascii="Arial" w:hAnsi="Arial" w:cs="Arial" w:eastAsia="Arial"/>
          <w:b/>
          <w:color w:val="auto"/>
          <w:spacing w:val="0"/>
          <w:position w:val="0"/>
          <w:sz w:val="20"/>
          <w:shd w:fill="auto" w:val="clear"/>
        </w:rPr>
        <w:t xml:space="preserve"> 9.1 Renseignements sur les propriétés physiques et chimiques de base </w:t>
      </w: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Apparence :</w:t>
      </w:r>
      <w:r>
        <w:rPr>
          <w:rFonts w:ascii="Arial" w:hAnsi="Arial" w:cs="Arial" w:eastAsia="Arial"/>
          <w:color w:val="auto"/>
          <w:spacing w:val="0"/>
          <w:position w:val="0"/>
          <w:sz w:val="20"/>
          <w:shd w:fill="auto" w:val="clear"/>
        </w:rPr>
        <w:tab/>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Odeur :</w:t>
      </w:r>
      <w:r>
        <w:rPr>
          <w:rFonts w:ascii="Arial" w:hAnsi="Arial" w:cs="Arial" w:eastAsia="Arial"/>
          <w:color w:val="auto"/>
          <w:spacing w:val="0"/>
          <w:position w:val="0"/>
          <w:sz w:val="20"/>
          <w:shd w:fill="auto" w:val="clear"/>
        </w:rPr>
        <w:tab/>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Seuil d’odeur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pH :</w:t>
      </w:r>
      <w:r>
        <w:rPr>
          <w:rFonts w:ascii="Arial" w:hAnsi="Arial" w:cs="Arial" w:eastAsia="Arial"/>
          <w:color w:val="auto"/>
          <w:spacing w:val="0"/>
          <w:position w:val="0"/>
          <w:sz w:val="20"/>
          <w:shd w:fill="auto" w:val="clear"/>
        </w:rPr>
        <w:tab/>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Point de fusion/ point de congélation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Point d’ébullition initial/ plage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Point d’éclair :</w:t>
      </w:r>
      <w:r>
        <w:rPr>
          <w:rFonts w:ascii="Arial" w:hAnsi="Arial" w:cs="Arial" w:eastAsia="Arial"/>
          <w:color w:val="auto"/>
          <w:spacing w:val="0"/>
          <w:position w:val="0"/>
          <w:sz w:val="20"/>
          <w:shd w:fill="auto" w:val="clear"/>
        </w:rPr>
        <w:tab/>
        <w:t xml:space="preserve">&gt; 60 °C</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45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Taux d’évaporation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08" style="width:513.600000pt;height:0.4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38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09" style="width:513.600000pt;height:0.4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0260" w:leader="none"/>
        </w:tabs>
        <w:spacing w:before="0" w:after="0" w:line="240"/>
        <w:ind w:right="0" w:left="95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5</w:t>
        <w:tab/>
        <w:t xml:space="preserve">( 8 )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0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FICHE DE DONNÉES DE SÉCURITÉ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280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9"/>
          <w:shd w:fill="auto" w:val="clear"/>
        </w:rPr>
        <w:t xml:space="preserve">Conformément au règlement REACH CE no 1907/2006</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Produit :</w:t>
      </w:r>
      <w:r>
        <w:rPr>
          <w:rFonts w:ascii="Arial" w:hAnsi="Arial" w:cs="Arial" w:eastAsia="Arial"/>
          <w:color w:val="auto"/>
          <w:spacing w:val="0"/>
          <w:position w:val="0"/>
          <w:sz w:val="20"/>
          <w:shd w:fill="auto" w:val="clear"/>
        </w:rPr>
        <w:tab/>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Version :</w:t>
      </w:r>
      <w:r>
        <w:rPr>
          <w:rFonts w:ascii="Arial" w:hAnsi="Arial" w:cs="Arial" w:eastAsia="Arial"/>
          <w:color w:val="auto"/>
          <w:spacing w:val="0"/>
          <w:position w:val="0"/>
          <w:sz w:val="20"/>
          <w:shd w:fill="auto" w:val="clear"/>
        </w:rPr>
        <w:tab/>
        <w:t xml:space="preserve">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Inflammabilité (solide, gaz)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19"/>
          <w:shd w:fill="auto" w:val="clear"/>
        </w:rPr>
        <w:t xml:space="preserve">Limites d’inflammabilité ou d’explosivité supérieures/inférieures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Pression de vapeur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Densité de vapeur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Densité relative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Solubilité(s)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Coefficient de partage : n-octanol/eau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Température d’auto-allumage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Température de décomposition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Viscosité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Propriétés explosives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Propriétés oxydantes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53"/>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9"/>
          <w:shd w:fill="auto" w:val="clear"/>
        </w:rPr>
        <w:t xml:space="preserve">Le produit ne présente pas de risque d’explosion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déterminé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prévu</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prévu</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4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9.2 Autres informations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Aucun disponible</w:t>
      </w:r>
    </w:p>
    <w:p>
      <w:pPr>
        <w:spacing w:before="0" w:after="0" w:line="370"/>
        <w:ind w:right="0" w:left="0" w:firstLine="0"/>
        <w:jc w:val="left"/>
        <w:rPr>
          <w:rFonts w:ascii="Calibri" w:hAnsi="Calibri" w:cs="Calibri" w:eastAsia="Calibri"/>
          <w:color w:val="auto"/>
          <w:spacing w:val="0"/>
          <w:position w:val="0"/>
          <w:sz w:val="20"/>
          <w:shd w:fill="auto" w:val="clear"/>
        </w:rPr>
      </w:pPr>
    </w:p>
    <w:p>
      <w:pPr>
        <w:spacing w:before="0" w:after="0" w:line="240"/>
        <w:ind w:right="2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10. Stabilité et réactivité</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10.1 Réactivité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 présente aucun risque de réactivité significatif, seul ou en contact avec l’eau.</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10.2 Stabilité chimique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Bonne stabilité dans des conditions normales de stockage.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10.3 Possibilité de réactions dangereuses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prévu dans des conditions normales d’utilisation.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10.4 Conditions à éviter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Évitez les chaleurs extrêmes.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10.5 Matières incompatibles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Éviter tout contact avec des acides, des alcalis ou des agents oxydants forts.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10.6 Produits de décomposition dangereux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Non prévu.</w:t>
      </w:r>
    </w:p>
    <w:p>
      <w:pPr>
        <w:spacing w:before="0" w:after="0" w:line="367"/>
        <w:ind w:right="0" w:left="0" w:firstLine="0"/>
        <w:jc w:val="left"/>
        <w:rPr>
          <w:rFonts w:ascii="Calibri" w:hAnsi="Calibri" w:cs="Calibri" w:eastAsia="Calibri"/>
          <w:color w:val="auto"/>
          <w:spacing w:val="0"/>
          <w:position w:val="0"/>
          <w:sz w:val="20"/>
          <w:shd w:fill="auto" w:val="clear"/>
        </w:rPr>
      </w:pPr>
    </w:p>
    <w:p>
      <w:pPr>
        <w:spacing w:before="0" w:after="0" w:line="240"/>
        <w:ind w:right="0" w:left="356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11. Renseignements toxicologiques</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11.1 Informations sur les effets toxicologiques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71"/>
        <w:ind w:right="76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Ce mélange n’a pas été testé dans son ensemble pour ses effets sur la santé. Les effets sur la santé ont été calculés selon les méthodes décrites dans le règlement (CE) no 1272/2008 (CLP).</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9"/>
          <w:shd w:fill="auto" w:val="clear"/>
        </w:rPr>
        <w:t xml:space="preserve">Ce matériau ne répond pas aux critères de classification des dangers pour la santé en vertu du règlement (CE) no 1272/2008.</w:t>
      </w:r>
    </w:p>
    <w:p>
      <w:pPr>
        <w:spacing w:before="0" w:after="0" w:line="248"/>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Toxicité aiguë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Toxicité aiguë par voie orale</w:t>
        <w:tab/>
      </w:r>
      <w:r>
        <w:rPr>
          <w:rFonts w:ascii="Arial" w:hAnsi="Arial" w:cs="Arial" w:eastAsia="Arial"/>
          <w:color w:val="auto"/>
          <w:spacing w:val="0"/>
          <w:position w:val="0"/>
          <w:sz w:val="19"/>
          <w:shd w:fill="auto" w:val="clear"/>
        </w:rPr>
        <w:t xml:space="preserve">Sans objet</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Toxicité aiguë cutanée</w:t>
        <w:tab/>
      </w:r>
      <w:r>
        <w:rPr>
          <w:rFonts w:ascii="Arial" w:hAnsi="Arial" w:cs="Arial" w:eastAsia="Arial"/>
          <w:color w:val="auto"/>
          <w:spacing w:val="0"/>
          <w:position w:val="0"/>
          <w:sz w:val="19"/>
          <w:shd w:fill="auto" w:val="clear"/>
        </w:rPr>
        <w:t xml:space="preserve">Sans objet</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Toxicité aiguë par inhalation</w:t>
        <w:tab/>
      </w:r>
      <w:r>
        <w:rPr>
          <w:rFonts w:ascii="Arial" w:hAnsi="Arial" w:cs="Arial" w:eastAsia="Arial"/>
          <w:color w:val="auto"/>
          <w:spacing w:val="0"/>
          <w:position w:val="0"/>
          <w:sz w:val="19"/>
          <w:shd w:fill="auto" w:val="clear"/>
        </w:rPr>
        <w:t xml:space="preserve">Non disponible</w:t>
      </w: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0" style="width:513.600000pt;height:0.4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p>
      <w:pPr>
        <w:spacing w:before="0" w:after="0" w:line="35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1" style="width:513.600000pt;height:0.4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0260" w:leader="none"/>
        </w:tabs>
        <w:spacing w:before="0" w:after="0" w:line="240"/>
        <w:ind w:right="0" w:left="95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6</w:t>
        <w:tab/>
        <w:t xml:space="preserve">( 8 )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0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FICHE DE DONNÉES DE SÉCURITÉ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280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Conformément au règlement REACH CE no 1907/2006</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44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Produit :</w:t>
      </w:r>
      <w:r>
        <w:rPr>
          <w:rFonts w:ascii="Arial" w:hAnsi="Arial" w:cs="Arial" w:eastAsia="Arial"/>
          <w:color w:val="auto"/>
          <w:spacing w:val="0"/>
          <w:position w:val="0"/>
          <w:sz w:val="20"/>
          <w:shd w:fill="auto" w:val="clear"/>
        </w:rPr>
        <w:tab/>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3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Version :</w:t>
      </w:r>
      <w:r>
        <w:rPr>
          <w:rFonts w:ascii="Arial" w:hAnsi="Arial" w:cs="Arial" w:eastAsia="Arial"/>
          <w:color w:val="auto"/>
          <w:spacing w:val="0"/>
          <w:position w:val="0"/>
          <w:sz w:val="20"/>
          <w:shd w:fill="auto" w:val="clear"/>
        </w:rPr>
        <w:tab/>
        <w:t xml:space="preserve">1</w:t>
      </w:r>
    </w:p>
    <w:p>
      <w:pPr>
        <w:spacing w:before="0" w:after="0" w:line="3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Corrosion/irritation cutanée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Lésions oculaires graves/irritation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Sensibilisation respiratoire ou cutanée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Mutagénèse des cellules germinales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Cancérogénicité :</w:t>
      </w:r>
      <w:r>
        <w:rPr>
          <w:rFonts w:ascii="Arial" w:hAnsi="Arial" w:cs="Arial" w:eastAsia="Arial"/>
          <w:color w:val="auto"/>
          <w:spacing w:val="0"/>
          <w:position w:val="0"/>
          <w:sz w:val="20"/>
          <w:shd w:fill="auto" w:val="clear"/>
        </w:rPr>
        <w:tab/>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Toxicité pour la reproduction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STOT-exposition unique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Exposition répétée STOT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7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Danger d’aspiration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Selon les données disponibles, les critères de classification ne sont pas respectés.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Information sur les ingrédients dangereux dans le mélange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Sans objet</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Voir les sections 2 et 3 pour plus de renseignements.</w:t>
      </w:r>
    </w:p>
    <w:p>
      <w:pPr>
        <w:spacing w:before="0" w:after="0" w:line="360"/>
        <w:ind w:right="0" w:left="0" w:firstLine="0"/>
        <w:jc w:val="left"/>
        <w:rPr>
          <w:rFonts w:ascii="Calibri" w:hAnsi="Calibri" w:cs="Calibri" w:eastAsia="Calibri"/>
          <w:color w:val="auto"/>
          <w:spacing w:val="0"/>
          <w:position w:val="0"/>
          <w:sz w:val="20"/>
          <w:shd w:fill="auto" w:val="clear"/>
        </w:rPr>
      </w:pPr>
    </w:p>
    <w:tbl>
      <w:tblPr/>
      <w:tblGrid>
        <w:gridCol w:w="420"/>
        <w:gridCol w:w="3300"/>
        <w:gridCol w:w="3260"/>
        <w:gridCol w:w="20"/>
      </w:tblGrid>
      <w:tr>
        <w:trPr>
          <w:trHeight w:val="23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80" w:type="dxa"/>
            <w:gridSpan w:val="2"/>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Section 12. Renseignements écologiques</w:t>
            </w:r>
          </w:p>
        </w:tc>
      </w:tr>
      <w:tr>
        <w:trPr>
          <w:trHeight w:val="576"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12.1</w:t>
            </w:r>
          </w:p>
        </w:tc>
        <w:tc>
          <w:tcPr>
            <w:tcW w:w="3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Toxicité :</w:t>
            </w:r>
          </w:p>
        </w:tc>
        <w:tc>
          <w:tcPr>
            <w:tcW w:w="3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980"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Toxique pour la vie aquatique et ayant des effets durables.</w:t>
            </w:r>
          </w:p>
        </w:tc>
      </w:tr>
      <w:tr>
        <w:trPr>
          <w:trHeight w:val="285"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12.2</w:t>
            </w:r>
          </w:p>
        </w:tc>
        <w:tc>
          <w:tcPr>
            <w:tcW w:w="3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Persistance et dégradabilité :</w:t>
            </w:r>
          </w:p>
        </w:tc>
        <w:tc>
          <w:tcPr>
            <w:tcW w:w="3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8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Non disponible</w:t>
            </w:r>
          </w:p>
        </w:tc>
      </w:tr>
      <w:tr>
        <w:trPr>
          <w:trHeight w:val="30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12.3</w:t>
            </w:r>
          </w:p>
        </w:tc>
        <w:tc>
          <w:tcPr>
            <w:tcW w:w="3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Potentiel de bioaccumulation :</w:t>
            </w:r>
          </w:p>
        </w:tc>
        <w:tc>
          <w:tcPr>
            <w:tcW w:w="3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8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Non disponible</w:t>
            </w:r>
          </w:p>
        </w:tc>
      </w:tr>
      <w:tr>
        <w:trPr>
          <w:trHeight w:val="30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12.4</w:t>
            </w:r>
          </w:p>
        </w:tc>
        <w:tc>
          <w:tcPr>
            <w:tcW w:w="3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Mobilité dans le sol :</w:t>
            </w:r>
          </w:p>
        </w:tc>
        <w:tc>
          <w:tcPr>
            <w:tcW w:w="3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8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Non disponible</w:t>
            </w: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12.5 Résultats de l’évaluation PBT et vPvB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Cette substance ne répond pas aux critères PBT/vPvB de l’annexe XIII du règlement REACH.</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398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12.6 Autres effets indésirables :</w:t>
      </w:r>
      <w:r>
        <w:rPr>
          <w:rFonts w:ascii="Arial" w:hAnsi="Arial" w:cs="Arial" w:eastAsia="Arial"/>
          <w:color w:val="auto"/>
          <w:spacing w:val="0"/>
          <w:position w:val="0"/>
          <w:sz w:val="20"/>
          <w:shd w:fill="auto" w:val="clear"/>
        </w:rPr>
        <w:tab/>
      </w:r>
      <w:r>
        <w:rPr>
          <w:rFonts w:ascii="Arial" w:hAnsi="Arial" w:cs="Arial" w:eastAsia="Arial"/>
          <w:color w:val="auto"/>
          <w:spacing w:val="0"/>
          <w:position w:val="0"/>
          <w:sz w:val="19"/>
          <w:shd w:fill="auto" w:val="clear"/>
        </w:rPr>
        <w:t xml:space="preserve">Non disponible</w:t>
      </w:r>
    </w:p>
    <w:p>
      <w:pPr>
        <w:spacing w:before="0" w:after="0" w:line="3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13. Considérations relatives à l’élimination</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13.1 Méthodes de traitement des déchets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3"/>
        <w:ind w:right="6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Éliminer conformément aux règlements locaux. Éviter l’élimination dans les systèmes de drainage et dans l’environnement. Les contenants vides doivent être acheminés vers un site de traitement des déchets approuvé pour recyclage ou élimination.</w:t>
      </w:r>
    </w:p>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420"/>
        <w:gridCol w:w="3320"/>
        <w:gridCol w:w="3180"/>
        <w:gridCol w:w="3100"/>
        <w:gridCol w:w="20"/>
      </w:tblGrid>
      <w:tr>
        <w:trPr>
          <w:trHeight w:val="23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Section 14. Informations sur le transport</w:t>
            </w:r>
          </w:p>
        </w:tc>
      </w:tr>
      <w:tr>
        <w:trPr>
          <w:trHeight w:val="542" w:hRule="auto"/>
          <w:jc w:val="left"/>
        </w:trPr>
        <w:tc>
          <w:tcPr>
            <w:tcW w:w="374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14.1 Numéro ONU :</w:t>
            </w:r>
          </w:p>
        </w:tc>
        <w:tc>
          <w:tcPr>
            <w:tcW w:w="3180" w:type="dxa"/>
            <w:tcBorders>
              <w:top w:val="single" w:color="000000" w:sz="8"/>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UN3082</w:t>
            </w:r>
          </w:p>
        </w:tc>
        <w:tc>
          <w:tcPr>
            <w:tcW w:w="312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74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14.2 Nom d’expédition approprié de l’ONU :</w:t>
            </w:r>
          </w:p>
        </w:tc>
        <w:tc>
          <w:tcPr>
            <w:tcW w:w="6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SUBSTANCE DANGEREUSE POUR L’ENVIRONNEMENT, LIQUIDE, N.S.A.</w:t>
            </w:r>
          </w:p>
        </w:tc>
      </w:tr>
      <w:tr>
        <w:trPr>
          <w:trHeight w:val="23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(AMBRETTOLIDE, 1,3,4,6,7,8-hexahydro-4,6,6,7,8,8-</w:t>
            </w:r>
          </w:p>
        </w:tc>
      </w:tr>
      <w:tr>
        <w:trPr>
          <w:trHeight w:val="272"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hexamethylcyclopenta(g)-2-benzopyran)</w:t>
            </w:r>
          </w:p>
        </w:tc>
      </w:tr>
      <w:tr>
        <w:trPr>
          <w:trHeight w:val="29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14.3</w:t>
            </w:r>
          </w:p>
        </w:tc>
        <w:tc>
          <w:tcPr>
            <w:tcW w:w="3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Classe(s) de danger de transport :</w:t>
            </w:r>
          </w:p>
        </w:tc>
        <w:tc>
          <w:tcPr>
            <w:tcW w:w="31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9</w:t>
            </w:r>
          </w:p>
        </w:tc>
        <w:tc>
          <w:tcPr>
            <w:tcW w:w="312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10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Sous-risque :</w:t>
            </w:r>
          </w:p>
        </w:tc>
        <w:tc>
          <w:tcPr>
            <w:tcW w:w="31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312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0" w:hRule="auto"/>
          <w:jc w:val="left"/>
        </w:trPr>
        <w:tc>
          <w:tcPr>
            <w:tcW w:w="374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14.4. Groupe d’emballage :</w:t>
            </w:r>
          </w:p>
        </w:tc>
        <w:tc>
          <w:tcPr>
            <w:tcW w:w="6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III</w:t>
            </w:r>
          </w:p>
        </w:tc>
      </w:tr>
      <w:tr>
        <w:trPr>
          <w:trHeight w:val="32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14.5</w:t>
            </w:r>
          </w:p>
        </w:tc>
        <w:tc>
          <w:tcPr>
            <w:tcW w:w="3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Dangers pour l’environnement :</w:t>
            </w:r>
          </w:p>
        </w:tc>
        <w:tc>
          <w:tcPr>
            <w:tcW w:w="6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Il s’agit d’une substance dangereuse pour l’environnement.</w:t>
            </w:r>
          </w:p>
        </w:tc>
      </w:tr>
      <w:tr>
        <w:trPr>
          <w:trHeight w:val="320" w:hRule="auto"/>
          <w:jc w:val="left"/>
        </w:trPr>
        <w:tc>
          <w:tcPr>
            <w:tcW w:w="4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14.6</w:t>
            </w:r>
          </w:p>
        </w:tc>
        <w:tc>
          <w:tcPr>
            <w:tcW w:w="3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Précautions particulières pour l’utilisateur :</w:t>
            </w:r>
          </w:p>
        </w:tc>
        <w:tc>
          <w:tcPr>
            <w:tcW w:w="628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Aucun autre</w:t>
            </w:r>
          </w:p>
        </w:tc>
      </w:tr>
    </w:tbl>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2" style="width:513.600000pt;height:0.4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11"/>
        <w:ind w:right="0" w:left="0" w:firstLine="0"/>
        <w:jc w:val="left"/>
        <w:rPr>
          <w:rFonts w:ascii="Calibri" w:hAnsi="Calibri" w:cs="Calibri" w:eastAsia="Calibri"/>
          <w:color w:val="auto"/>
          <w:spacing w:val="0"/>
          <w:position w:val="0"/>
          <w:sz w:val="20"/>
          <w:shd w:fill="auto" w:val="clear"/>
        </w:rPr>
      </w:pPr>
    </w:p>
    <w:p>
      <w:pPr>
        <w:spacing w:before="0" w:after="0" w:line="240"/>
        <w:ind w:right="0" w:left="138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3" style="width:513.600000pt;height:0.4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0280" w:leader="none"/>
        </w:tabs>
        <w:spacing w:before="0" w:after="0" w:line="240"/>
        <w:ind w:right="0" w:left="958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7</w:t>
        <w:tab/>
        <w:t xml:space="preserve">( 8 )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0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FICHE DE DONNÉES DE SÉCURITÉ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28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Conformément au règlement REACH CE no 1907/2006</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400" w:leader="none"/>
        </w:tabs>
        <w:spacing w:before="0" w:after="0" w:line="240"/>
        <w:ind w:right="0" w:left="2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Produit :</w:t>
      </w:r>
      <w:r>
        <w:rPr>
          <w:rFonts w:ascii="Arial" w:hAnsi="Arial" w:cs="Arial" w:eastAsia="Arial"/>
          <w:color w:val="auto"/>
          <w:spacing w:val="0"/>
          <w:position w:val="0"/>
          <w:sz w:val="20"/>
          <w:shd w:fill="auto" w:val="clear"/>
        </w:rPr>
        <w:tab/>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400" w:leader="none"/>
        </w:tabs>
        <w:spacing w:before="0" w:after="0" w:line="240"/>
        <w:ind w:right="0" w:left="2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Version :</w:t>
      </w:r>
      <w:r>
        <w:rPr>
          <w:rFonts w:ascii="Arial" w:hAnsi="Arial" w:cs="Arial" w:eastAsia="Arial"/>
          <w:color w:val="auto"/>
          <w:spacing w:val="0"/>
          <w:position w:val="0"/>
          <w:sz w:val="20"/>
          <w:shd w:fill="auto" w:val="clear"/>
        </w:rPr>
        <w:tab/>
        <w:t xml:space="preserve">1</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240"/>
        <w:ind w:right="0" w:left="2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14.7 Transport en vrac selon l’annexe II de la MARPOL73/78 et le code IBC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Sans objet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Section 15. Renseignements réglementaires</w:t>
      </w:r>
    </w:p>
    <w:p>
      <w:pPr>
        <w:spacing w:before="0" w:after="0" w:line="270"/>
        <w:ind w:right="0" w:left="0" w:firstLine="0"/>
        <w:jc w:val="left"/>
        <w:rPr>
          <w:rFonts w:ascii="Calibri" w:hAnsi="Calibri" w:cs="Calibri" w:eastAsia="Calibri"/>
          <w:color w:val="auto"/>
          <w:spacing w:val="0"/>
          <w:position w:val="0"/>
          <w:sz w:val="20"/>
          <w:shd w:fill="auto" w:val="clear"/>
        </w:rPr>
      </w:pPr>
    </w:p>
    <w:p>
      <w:pPr>
        <w:spacing w:before="0" w:after="0" w:line="360"/>
        <w:ind w:right="1400" w:left="2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15.1 Règlements/législation en matière de sécurité, de santé et d’environnement propres à la substance ou au mélange</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2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15.2 Évaluation de la sécurité chimique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Aucune évaluation de la sécurité chimique n’a été effectuée pour ce produit.</w:t>
      </w:r>
    </w:p>
    <w:p>
      <w:pPr>
        <w:spacing w:before="0" w:after="0" w:line="360"/>
        <w:ind w:right="0" w:left="0" w:firstLine="0"/>
        <w:jc w:val="left"/>
        <w:rPr>
          <w:rFonts w:ascii="Calibri" w:hAnsi="Calibri" w:cs="Calibri" w:eastAsia="Calibri"/>
          <w:color w:val="auto"/>
          <w:spacing w:val="0"/>
          <w:position w:val="0"/>
          <w:sz w:val="20"/>
          <w:shd w:fill="auto" w:val="clear"/>
        </w:rPr>
      </w:pPr>
    </w:p>
    <w:tbl>
      <w:tblPr>
        <w:tblInd w:w="10" w:type="dxa"/>
      </w:tblPr>
      <w:tblGrid>
        <w:gridCol w:w="3020"/>
        <w:gridCol w:w="940"/>
        <w:gridCol w:w="2780"/>
        <w:gridCol w:w="3980"/>
        <w:gridCol w:w="20"/>
      </w:tblGrid>
      <w:tr>
        <w:trPr>
          <w:trHeight w:val="230" w:hRule="auto"/>
          <w:jc w:val="left"/>
        </w:trPr>
        <w:tc>
          <w:tcPr>
            <w:tcW w:w="3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Section 16. Autres renseignements</w:t>
            </w:r>
          </w:p>
        </w:tc>
      </w:tr>
      <w:tr>
        <w:trPr>
          <w:trHeight w:val="462" w:hRule="auto"/>
          <w:jc w:val="left"/>
        </w:trPr>
        <w:tc>
          <w:tcPr>
            <w:tcW w:w="3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Limites de concentration en % :</w:t>
            </w:r>
          </w:p>
        </w:tc>
        <w:tc>
          <w:tcPr>
            <w:tcW w:w="9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80" w:type="dxa"/>
            <w:tcBorders>
              <w:top w:val="single" w:color="000000" w:sz="8"/>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EH C2=68,79 % EH C3=6,88 %</w:t>
            </w:r>
          </w:p>
        </w:tc>
        <w:tc>
          <w:tcPr>
            <w:tcW w:w="4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3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Valeurs fractionnaires totales :</w:t>
            </w:r>
          </w:p>
        </w:tc>
        <w:tc>
          <w:tcPr>
            <w:tcW w:w="9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76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6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EH C2=1.45 EH C3=14.54</w:t>
            </w:r>
          </w:p>
        </w:tc>
      </w:tr>
      <w:tr>
        <w:trPr>
          <w:trHeight w:val="420" w:hRule="auto"/>
          <w:jc w:val="left"/>
        </w:trPr>
        <w:tc>
          <w:tcPr>
            <w:tcW w:w="3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Clé des révisions :</w:t>
            </w:r>
          </w:p>
        </w:tc>
        <w:tc>
          <w:tcPr>
            <w:tcW w:w="9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0" w:hRule="auto"/>
          <w:jc w:val="left"/>
        </w:trPr>
        <w:tc>
          <w:tcPr>
            <w:tcW w:w="3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Sans objet</w:t>
            </w:r>
          </w:p>
        </w:tc>
        <w:tc>
          <w:tcPr>
            <w:tcW w:w="9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0" w:hRule="auto"/>
          <w:jc w:val="left"/>
        </w:trPr>
        <w:tc>
          <w:tcPr>
            <w:tcW w:w="30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Clé des abréviations :</w:t>
            </w:r>
          </w:p>
        </w:tc>
        <w:tc>
          <w:tcPr>
            <w:tcW w:w="9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1" w:hRule="auto"/>
          <w:jc w:val="left"/>
        </w:trPr>
        <w:tc>
          <w:tcPr>
            <w:tcW w:w="302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4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Abréviation</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Signification</w:t>
            </w:r>
          </w:p>
        </w:tc>
      </w:tr>
      <w:tr>
        <w:trPr>
          <w:trHeight w:val="45"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AH 1</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d’aspiration, catégorie 1</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EDI 2</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irritation de catégorie 2</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EH A1</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 Danger aigu de catégorie 1</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EH C1</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 Catégorie de danger à long terme 1</w:t>
            </w:r>
          </w:p>
        </w:tc>
      </w:tr>
      <w:tr>
        <w:trPr>
          <w:trHeight w:val="32"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EH C2</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 catégorie de danger à long terme 2</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EH C3</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 Catégorie de danger à long terme 3</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 3</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Liquide inflammable, catégorie de danger 3</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H226</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Liquide et vapeur inflammables.</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être mortel si avalé et pénètre dans les voies respiratoires.</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de la peau.</w:t>
            </w:r>
          </w:p>
        </w:tc>
      </w:tr>
      <w:tr>
        <w:trPr>
          <w:trHeight w:val="32"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réaction allergique cutanée.</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oculaire grave.</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H361</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Suspecté de nuire à la fertilité ou au f</w:t>
            </w:r>
            <w:r>
              <w:rPr>
                <w:rFonts w:ascii="Arial" w:hAnsi="Arial" w:cs="Arial" w:eastAsia="Arial"/>
                <w:color w:val="auto"/>
                <w:spacing w:val="0"/>
                <w:position w:val="0"/>
                <w:sz w:val="16"/>
                <w:shd w:fill="auto" w:val="clear"/>
              </w:rPr>
              <w:t xml:space="preserve">œtus (voie d’exposition).</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la vie aquatique et avec des effets durables.</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H411</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la vie aquatique et ayant des effets durables.</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la vie aquatique et ayant des effets durables.</w:t>
            </w:r>
          </w:p>
        </w:tc>
      </w:tr>
      <w:tr>
        <w:trPr>
          <w:trHeight w:val="32"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P202</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manipuler avant d’avoir lu et compris toutes les précautions de sécurité.</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P210</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à l’écart de la chaleur, des étincelles, des flammes nues et des surfaces chaudes. - Ne pas fumer.</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P233</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Garder le contenant bien fermé.</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P240</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Conteneur de terre/liaison et équipement de réception.</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P241</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Utiliser des équipements électriques, de ventilation et d’éclairage antidéflagrants.</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P242</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Utiliser uniquement des outils non étincelants.</w:t>
            </w:r>
          </w:p>
        </w:tc>
      </w:tr>
      <w:tr>
        <w:trPr>
          <w:trHeight w:val="32"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00" w:type="dxa"/>
            <w:gridSpan w:val="3"/>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30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P243</w:t>
            </w:r>
          </w:p>
        </w:tc>
        <w:tc>
          <w:tcPr>
            <w:tcW w:w="7700" w:type="dxa"/>
            <w:gridSpan w:val="3"/>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Prendre des mesures de précaution contre les décharges statiques.</w:t>
            </w:r>
          </w:p>
        </w:tc>
      </w:tr>
      <w:tr>
        <w:trPr>
          <w:trHeight w:val="33" w:hRule="auto"/>
          <w:jc w:val="left"/>
        </w:trPr>
        <w:tc>
          <w:tcPr>
            <w:tcW w:w="30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8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0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4" style="width:513.600000pt;height:0.4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50"/>
        <w:ind w:right="0" w:left="0" w:firstLine="0"/>
        <w:jc w:val="left"/>
        <w:rPr>
          <w:rFonts w:ascii="Calibri" w:hAnsi="Calibri" w:cs="Calibri" w:eastAsia="Calibri"/>
          <w:color w:val="auto"/>
          <w:spacing w:val="0"/>
          <w:position w:val="0"/>
          <w:sz w:val="20"/>
          <w:shd w:fill="auto" w:val="clear"/>
        </w:rPr>
      </w:pPr>
    </w:p>
    <w:p>
      <w:pPr>
        <w:spacing w:before="0" w:after="0" w:line="240"/>
        <w:ind w:right="0" w:left="140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5" style="width:513.600000pt;height:0.4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0280" w:leader="none"/>
        </w:tabs>
        <w:spacing w:before="0" w:after="0" w:line="240"/>
        <w:ind w:right="0" w:left="958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6"/>
          <w:shd w:fill="auto" w:val="clear"/>
        </w:rPr>
        <w:t xml:space="preserve">Page 8</w:t>
        <w:tab/>
        <w:t xml:space="preserve">( 8 )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02"/>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FICHE DE DONNÉES DE SÉCURITÉ</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bl>
      <w:tblPr>
        <w:tblInd w:w="10" w:type="dxa"/>
      </w:tblPr>
      <w:tblGrid>
        <w:gridCol w:w="1220"/>
        <w:gridCol w:w="1800"/>
        <w:gridCol w:w="7700"/>
        <w:gridCol w:w="20"/>
        <w:gridCol w:w="2056"/>
        <w:gridCol w:w="20"/>
      </w:tblGrid>
      <w:tr>
        <w:trPr>
          <w:trHeight w:val="272" w:hRule="auto"/>
          <w:jc w:val="left"/>
        </w:trPr>
        <w:tc>
          <w:tcPr>
            <w:tcW w:w="1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160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Conformément au règlement REACH CE no 1907/2006</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0" w:hRule="auto"/>
          <w:jc w:val="left"/>
        </w:trPr>
        <w:tc>
          <w:tcPr>
            <w:tcW w:w="1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Produit :</w:t>
            </w:r>
          </w:p>
        </w:tc>
        <w:tc>
          <w:tcPr>
            <w:tcW w:w="95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Si Fragrance Oil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FRAG0126 10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DE BASE NON DANGEREUSE</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12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Version :</w:t>
            </w:r>
          </w:p>
        </w:tc>
        <w:tc>
          <w:tcPr>
            <w:tcW w:w="18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772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1" w:hRule="auto"/>
          <w:jc w:val="left"/>
        </w:trPr>
        <w:tc>
          <w:tcPr>
            <w:tcW w:w="122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P261</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de respirer la vapeur ou la poussière.</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P264</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Laver soigneusement les mains et les autres peaux en contact après la manipulation.</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P272</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Les vêtements de travail contaminés ne devraient pas être autorisés à sortir du lieu de travail.</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les rejets dans l’environnement.</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P280</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Porter des gants de protection/protection oculaire/protection faciale.</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P301/310</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SI AVALÉ : Appelez immédiatement un centre antipoison ou un médecin/médecin.</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P302/352</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SI SUR LA PEAU : Laver avec beaucoup de savon et d’eau.</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P303/361/353</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SI SUR LA PEAU (ou les cheveux) : Retirer/enlever immédiatement tous les vêtements contaminés. Rincer la peau avec de l’eau/douche.</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73" w:hRule="auto"/>
          <w:jc w:val="left"/>
        </w:trPr>
        <w:tc>
          <w:tcPr>
            <w:tcW w:w="1220" w:type="dxa"/>
            <w:vMerge w:val="restart"/>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P305/351/338</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SI DANS LES YEUX : Rincer prudemment avec de l’eau pendant plusieurs minutes. Retirer les lentilles de contact, si elles sont présentes et faciles à</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4" w:hRule="auto"/>
          <w:jc w:val="left"/>
        </w:trPr>
        <w:tc>
          <w:tcPr>
            <w:tcW w:w="1220" w:type="dxa"/>
            <w:vMerge/>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Continuer le rinçage.</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vMerge/>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P308/313</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S’il est exposé ou inquiet : Obtenir des conseils/des soins médicaux.</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P331</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provoquer de vomissements.</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P333/313</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Si une irritation cutanée ou une éruption cutanée se produit : Demandez conseil/attention à un médecin.</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P337/313</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Si l’irritation des yeux persiste : Consulter un médecin/faire appel à ses services.</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P362</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Enlever les vêtements contaminés et les laver avant de les réutiliser.</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P363</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Laver les vêtements contaminés avant de les réutiliser.</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P370/378</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d’incendie : utiliser du dioxyde de carbone, un produit chimique sec et de la mousse pour l’extinction.</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P391</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Recueillir les déversements.</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P403/235</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Entreposer dans un endroit bien aéré. Garder la tête froide.</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P405</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Magasin fermé.</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contenu/conteneur dans un site d’élimination approuvé, conformément aux règlements locaux.</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REP 2</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la reproduction, catégorie 2</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SCI 2</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Corrosion cutanée/ irritation de la peau, catégorie 2</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SS 1</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 Catégorie 1 de la peau</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7" w:hRule="auto"/>
          <w:jc w:val="left"/>
        </w:trPr>
        <w:tc>
          <w:tcPr>
            <w:tcW w:w="1220" w:type="dxa"/>
            <w:tcBorders>
              <w:top w:val="single" w:color="000000" w:sz="0"/>
              <w:left w:val="single" w:color="000000" w:sz="8"/>
              <w:bottom w:val="single" w:color="000000" w:sz="0"/>
              <w:right w:val="single" w:color="000000" w:sz="0"/>
            </w:tcBorders>
            <w:shd w:color="000000" w:fill="ffffff" w:val="clear"/>
            <w:tcMar>
              <w:left w:w="0" w:type="dxa"/>
              <w:right w:w="0" w:type="dxa"/>
            </w:tcMar>
            <w:vAlign w:val="bottom"/>
          </w:tcPr>
          <w:p>
            <w:pPr>
              <w:spacing w:before="0" w:after="0" w:line="240"/>
              <w:ind w:right="0" w:left="2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SS 1B</w:t>
            </w:r>
          </w:p>
        </w:tc>
        <w:tc>
          <w:tcPr>
            <w:tcW w:w="180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 Catégorie 1B de la peau</w:t>
            </w: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 w:hRule="auto"/>
          <w:jc w:val="left"/>
        </w:trPr>
        <w:tc>
          <w:tcPr>
            <w:tcW w:w="1220" w:type="dxa"/>
            <w:tcBorders>
              <w:top w:val="single" w:color="000000" w:sz="0"/>
              <w:left w:val="single" w:color="000000" w:sz="8"/>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20" w:type="dxa"/>
            <w:gridSpan w:val="2"/>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6"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3"/>
        <w:ind w:right="600" w:left="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Les informations contenues dans cette fiche de données de sécurité sont à notre connaissance vraies et exactes, mais toutes les données, instructions, recommandations et/ou suggestions sont faites sans garantie.</w:t>
      </w: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6" style="width:513.600000pt;height:0.4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70"/>
        <w:ind w:right="0" w:left="0" w:firstLine="0"/>
        <w:jc w:val="left"/>
        <w:rPr>
          <w:rFonts w:ascii="Calibri" w:hAnsi="Calibri" w:cs="Calibri" w:eastAsia="Calibri"/>
          <w:color w:val="auto"/>
          <w:spacing w:val="0"/>
          <w:position w:val="0"/>
          <w:sz w:val="20"/>
          <w:shd w:fill="auto" w:val="clear"/>
        </w:rPr>
      </w:pPr>
    </w:p>
    <w:p>
      <w:pPr>
        <w:spacing w:before="0" w:after="0" w:line="240"/>
        <w:ind w:right="0" w:left="140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object w:dxaOrig="10272" w:dyaOrig="9">
          <v:rect xmlns:o="urn:schemas-microsoft-com:office:office" xmlns:v="urn:schemas-microsoft-com:vml" id="rectole0000000017" style="width:513.600000pt;height:0.4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3.bin" Id="docRId7" Type="http://schemas.openxmlformats.org/officeDocument/2006/relationships/oleObject" /><Relationship Target="media/image6.wmf" Id="docRId14" Type="http://schemas.openxmlformats.org/officeDocument/2006/relationships/image" /><Relationship Target="media/image16.wmf" Id="docRId34" Type="http://schemas.openxmlformats.org/officeDocument/2006/relationships/image" /><Relationship Target="embeddings/oleObject0.bin" Id="docRId1" Type="http://schemas.openxmlformats.org/officeDocument/2006/relationships/oleObject" /><Relationship Target="embeddings/oleObject7.bin" Id="docRId15" Type="http://schemas.openxmlformats.org/officeDocument/2006/relationships/oleObject" /><Relationship Target="media/image10.wmf" Id="docRId22" Type="http://schemas.openxmlformats.org/officeDocument/2006/relationships/image" /><Relationship Target="embeddings/oleObject17.bin" Id="docRId35" Type="http://schemas.openxmlformats.org/officeDocument/2006/relationships/oleObject" /><Relationship Target="embeddings/oleObject4.bin" Id="docRId9" Type="http://schemas.openxmlformats.org/officeDocument/2006/relationships/oleObject" /><Relationship TargetMode="External" Target="mailto:customerservice@suppliesforcandles.co.uk" Id="docRId0" Type="http://schemas.openxmlformats.org/officeDocument/2006/relationships/hyperlink" /><Relationship Target="media/image5.wmf" Id="docRId12" Type="http://schemas.openxmlformats.org/officeDocument/2006/relationships/image" /><Relationship Target="embeddings/oleObject10.bin" Id="docRId21" Type="http://schemas.openxmlformats.org/officeDocument/2006/relationships/oleObject" /><Relationship Target="embeddings/oleObject14.bin" Id="docRId29" Type="http://schemas.openxmlformats.org/officeDocument/2006/relationships/oleObject" /><Relationship Target="media/image17.wmf" Id="docRId36" Type="http://schemas.openxmlformats.org/officeDocument/2006/relationships/image" /><Relationship Target="media/image3.wmf" Id="docRId8" Type="http://schemas.openxmlformats.org/officeDocument/2006/relationships/image" /><Relationship Target="embeddings/oleObject6.bin" Id="docRId13" Type="http://schemas.openxmlformats.org/officeDocument/2006/relationships/oleObject" /><Relationship Target="media/image9.wmf" Id="docRId20" Type="http://schemas.openxmlformats.org/officeDocument/2006/relationships/image" /><Relationship Target="media/image13.wmf" Id="docRId28" Type="http://schemas.openxmlformats.org/officeDocument/2006/relationships/image" /><Relationship Target="embeddings/oleObject1.bin" Id="docRId3" Type="http://schemas.openxmlformats.org/officeDocument/2006/relationships/oleObject" /><Relationship Target="numbering.xml" Id="docRId37" Type="http://schemas.openxmlformats.org/officeDocument/2006/relationships/numbering" /><Relationship Target="media/image4.wmf" Id="docRId10" Type="http://schemas.openxmlformats.org/officeDocument/2006/relationships/image" /><Relationship Target="media/image8.wmf" Id="docRId18" Type="http://schemas.openxmlformats.org/officeDocument/2006/relationships/image" /><Relationship Target="media/image0.wmf" Id="docRId2" Type="http://schemas.openxmlformats.org/officeDocument/2006/relationships/image" /><Relationship Target="embeddings/oleObject13.bin" Id="docRId27" Type="http://schemas.openxmlformats.org/officeDocument/2006/relationships/oleObject" /><Relationship Target="media/image14.wmf" Id="docRId30" Type="http://schemas.openxmlformats.org/officeDocument/2006/relationships/image" /><Relationship Target="styles.xml" Id="docRId38" Type="http://schemas.openxmlformats.org/officeDocument/2006/relationships/styles" /><Relationship Target="embeddings/oleObject5.bin" Id="docRId11" Type="http://schemas.openxmlformats.org/officeDocument/2006/relationships/oleObject" /><Relationship Target="embeddings/oleObject9.bin" Id="docRId19" Type="http://schemas.openxmlformats.org/officeDocument/2006/relationships/oleObject" /><Relationship Target="media/image12.wmf" Id="docRId26" Type="http://schemas.openxmlformats.org/officeDocument/2006/relationships/image" /><Relationship Target="embeddings/oleObject15.bin" Id="docRId31" Type="http://schemas.openxmlformats.org/officeDocument/2006/relationships/oleObject" /><Relationship Target="embeddings/oleObject2.bin" Id="docRId5" Type="http://schemas.openxmlformats.org/officeDocument/2006/relationships/oleObject" /><Relationship Target="media/image7.wmf" Id="docRId16" Type="http://schemas.openxmlformats.org/officeDocument/2006/relationships/image" /><Relationship Target="embeddings/oleObject12.bin" Id="docRId25" Type="http://schemas.openxmlformats.org/officeDocument/2006/relationships/oleObject" /><Relationship Target="media/image15.wmf" Id="docRId32" Type="http://schemas.openxmlformats.org/officeDocument/2006/relationships/image" /><Relationship Target="media/image1.wmf" Id="docRId4" Type="http://schemas.openxmlformats.org/officeDocument/2006/relationships/image" /><Relationship Target="embeddings/oleObject8.bin" Id="docRId17" Type="http://schemas.openxmlformats.org/officeDocument/2006/relationships/oleObject" /><Relationship Target="media/image11.wmf" Id="docRId24" Type="http://schemas.openxmlformats.org/officeDocument/2006/relationships/image" /><Relationship Target="embeddings/oleObject16.bin" Id="docRId33" Type="http://schemas.openxmlformats.org/officeDocument/2006/relationships/oleObject" /><Relationship Target="embeddings/oleObject11.bin" Id="docRId23" Type="http://schemas.openxmlformats.org/officeDocument/2006/relationships/oleObject" /><Relationship Target="media/image2.wmf" Id="docRId6" Type="http://schemas.openxmlformats.org/officeDocument/2006/relationships/image" /></Relationships>
</file>