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36" w:line="259"/>
        <w:ind w:right="84" w:left="0" w:firstLine="0"/>
        <w:jc w:val="center"/>
        <w:rPr>
          <w:rFonts w:ascii="Arial" w:hAnsi="Arial" w:cs="Arial" w:eastAsia="Arial"/>
          <w:b/>
          <w:color w:val="073D48"/>
          <w:spacing w:val="0"/>
          <w:position w:val="0"/>
          <w:sz w:val="32"/>
          <w:shd w:fill="D49C14" w:val="clear"/>
        </w:rPr>
      </w:pPr>
      <w:r>
        <w:rPr>
          <w:rFonts w:ascii="Arial" w:hAnsi="Arial" w:cs="Arial" w:eastAsia="Arial"/>
          <w:b/>
          <w:color w:val="073D48"/>
          <w:spacing w:val="0"/>
          <w:position w:val="0"/>
          <w:sz w:val="32"/>
          <w:shd w:fill="D49C14" w:val="clear"/>
        </w:rPr>
        <w:t xml:space="preserve">Linge frais 7%</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0" w:line="240"/>
        <w:ind w:right="8100" w:left="-5" w:hanging="1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Linge frais 7% </w:t>
      </w:r>
    </w:p>
    <w:p>
      <w:pPr>
        <w:spacing w:before="0" w:after="0" w:line="240"/>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3" w:line="265"/>
        <w:ind w:right="67" w:left="747" w:hanging="10"/>
        <w:jc w:val="both"/>
        <w:rPr>
          <w:rFonts w:ascii="Arial" w:hAnsi="Arial" w:cs="Arial" w:eastAsia="Arial"/>
          <w:color w:val="073D48"/>
          <w:spacing w:val="0"/>
          <w:position w:val="0"/>
          <w:sz w:val="20"/>
          <w:shd w:fill="auto" w:val="clear"/>
        </w:rPr>
      </w:pP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7"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87"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H412 - Nocif pour les organismes aquatiques, entraîne des effets néfastes à long terme.</w:t>
      </w:r>
    </w:p>
    <w:p>
      <w:pPr>
        <w:spacing w:before="0" w:after="0"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EUH208 - Contient methyl cedryl ketone (vertofix coeur), 2-(phenylmethylidene)octanal (alpha-hexyl cinnamaldehyde), 3,7dimethyloct-6-en-1-ol (citronellol), hexyl 2-hydroxybenzoate (hexyl salicylate), 7-hydroxy-3,7-dimethyloctanal </w:t>
      </w:r>
    </w:p>
    <w:p>
      <w:pPr>
        <w:spacing w:before="0" w:after="32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(hydroxycitronellal), (E)-1-(2,6,6-trimethyl-1-cyclohex-3-enyl)but-2-en-1-one (delta-damascone).  Peut produire une réaction allergique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20"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H412 - Nocif pour les organismes aquatiques, entraîne des effets néfastes à long terme.</w:t>
      </w:r>
    </w:p>
    <w:p>
      <w:pPr>
        <w:spacing w:before="0" w:after="11"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P501 - Éliminer le contenu/récipient dans …</w:t>
      </w:r>
    </w:p>
    <w:p>
      <w:pPr>
        <w:spacing w:before="0" w:after="11"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EUH208 - Contient methyl cedryl ketone (vertofix coeur), 2-(phenylmethylidene)octanal (alpha-hexyl cinnamaldehyde), </w:t>
      </w:r>
    </w:p>
    <w:p>
      <w:pPr>
        <w:spacing w:before="0" w:after="49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3,7-dimethyloct-6-en-1-ol (citronellol), hexyl 2-hydroxybenzoate (hexyl salicylate), 7-hydroxy-3,7-dimethyloctanal (hydroxycitronellal), (E)-1-(2,6,6-trimethyl-1-cyclohex-3-enyl)but-2-en-1-one (delta-damascone).  Peut produire une réaction allergique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838"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center"/>
          </w:tcPr>
          <w:p>
            <w:pPr>
              <w:spacing w:before="0" w:after="0" w:line="240"/>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(E)-1-(2,6,6-trimethyl-1-cyclohex-3-enyl)but-2-e n-1-one (delta-damascone)   (No REACH :</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01-2119535122-53-0000)</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88" w:firstLine="0"/>
              <w:jc w:val="left"/>
              <w:rPr>
                <w:spacing w:val="0"/>
                <w:position w:val="0"/>
                <w:shd w:fill="auto" w:val="clear"/>
              </w:rPr>
            </w:pPr>
            <w:r>
              <w:rPr>
                <w:rFonts w:ascii="Arial" w:hAnsi="Arial" w:cs="Arial" w:eastAsia="Arial"/>
                <w:color w:val="073D48"/>
                <w:spacing w:val="0"/>
                <w:position w:val="0"/>
                <w:sz w:val="14"/>
                <w:shd w:fill="auto" w:val="clear"/>
              </w:rPr>
              <w:t xml:space="preserve">57378-68-4</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275-156-8</w:t>
            </w:r>
          </w:p>
        </w:tc>
        <w:tc>
          <w:tcPr>
            <w:tcW w:w="2997"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Acute Tox. 4, Eye Irrit. 2, Aquatic Acute</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1, Aquatic Chronic 1, Skin Irrit. 2, Skin</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Sens. 1A - H302, H315, H317, H319,</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73D48"/>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214-946-9</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01-2119533092-50-XXXX)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101-86-0</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3,7-dimethyloct-6-en-1-ol (citronellol)   (No</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REACH : 01-2119453995-23-XXXX)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106-22-9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203-375-0</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7-hydroxy-3,7-dimethyloctanal</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(hydroxycitronellal)   (No REACH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01-2119973482-31-XXXX)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107-75-5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203-518-7</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73D48"/>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87"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228-408-6</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7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73D48"/>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73D48"/>
                <w:spacing w:val="0"/>
                <w:position w:val="0"/>
                <w:sz w:val="14"/>
                <w:shd w:fill="auto" w:val="clear"/>
              </w:rPr>
              <w:t xml:space="preserve">251-020-3</w:t>
            </w:r>
          </w:p>
        </w:tc>
        <w:tc>
          <w:tcPr>
            <w:tcW w:w="2997"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3" w:line="427"/>
        <w:ind w:right="3754"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119"/>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119"/>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w:t>
      </w:r>
    </w:p>
    <w:p>
      <w:pPr>
        <w:spacing w:before="0" w:after="170"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p>
      <w:pPr>
        <w:spacing w:before="0" w:after="10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11"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Couleur :</w:t>
      </w:r>
    </w:p>
    <w:tbl>
      <w:tblPr/>
      <w:tblGrid>
        <w:gridCol w:w="3096"/>
        <w:gridCol w:w="2314"/>
      </w:tblGrid>
      <w:tr>
        <w:trPr>
          <w:trHeight w:val="27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1"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70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0" w:line="427"/>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(inhal.) = Non déterminée (mg/l/4 h)</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233"/>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233"/>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36"/>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36"/>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3"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p>
      <w:pPr>
        <w:spacing w:before="0" w:after="3" w:line="265"/>
        <w:ind w:right="0" w:left="747" w:hanging="10"/>
        <w:jc w:val="both"/>
        <w:rPr>
          <w:rFonts w:ascii="Arial" w:hAnsi="Arial" w:cs="Arial" w:eastAsia="Arial"/>
          <w:color w:val="073D48"/>
          <w:spacing w:val="0"/>
          <w:position w:val="0"/>
          <w:sz w:val="20"/>
          <w:shd w:fill="auto" w:val="clear"/>
        </w:rPr>
      </w:pPr>
    </w:p>
    <w:tbl>
      <w:tblPr/>
      <w:tblGrid>
        <w:gridCol w:w="6615"/>
        <w:gridCol w:w="3025"/>
      </w:tblGrid>
      <w:tr>
        <w:trPr>
          <w:trHeight w:val="80"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7986"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542" w:line="427"/>
              <w:ind w:right="2389"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5" w:line="425"/>
              <w:ind w:right="324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 Pas de données à ce jour.</w:t>
            </w:r>
          </w:p>
          <w:p>
            <w:pPr>
              <w:spacing w:before="0" w:after="540"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131"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8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6"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1" w:line="250"/>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9">
    <w:abstractNumId w:val="12"/>
  </w:num>
  <w:num w:numId="233">
    <w:abstractNumId w:val="6"/>
  </w:num>
  <w:num w:numId="2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