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CONFITURE DE MÛRES 10</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tbl>
      <w:tblPr/>
      <w:tblGrid>
        <w:gridCol w:w="1129"/>
        <w:gridCol w:w="7933"/>
      </w:tblGrid>
      <w:tr>
        <w:trPr>
          <w:trHeight w:val="233" w:hRule="auto"/>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EUH208 </w:t>
      </w:r>
      <w:r>
        <w:rPr>
          <w:rFonts w:ascii="Arial" w:hAnsi="Arial" w:cs="Arial" w:eastAsia="Arial"/>
          <w:b/>
          <w:color w:val="auto"/>
          <w:spacing w:val="0"/>
          <w:position w:val="0"/>
          <w:sz w:val="16"/>
          <w:shd w:fill="auto" w:val="clear"/>
        </w:rPr>
        <w:t xml:space="preserve">Contient</w:t>
      </w: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16"/>
          <w:shd w:fill="auto" w:val="clear"/>
        </w:rPr>
        <w:t xml:space="preserve">Aldehyde C-16.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587"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C-16</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77-83-8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201-061-8</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0.14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0.275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1B, H317 </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 H411</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color w:val="0070C0"/>
          <w:spacing w:val="0"/>
          <w:position w:val="0"/>
          <w:sz w:val="16"/>
          <w:shd w:fill="auto" w:val="clear"/>
        </w:rPr>
        <w:t xml:space="preserve">15.1.1 </w:t>
      </w:r>
      <w:r>
        <w:rPr>
          <w:rFonts w:ascii="Arial" w:hAnsi="Arial" w:cs="Arial" w:eastAsia="Arial"/>
          <w:b/>
          <w:color w:val="0070C0"/>
          <w:spacing w:val="0"/>
          <w:position w:val="0"/>
          <w:sz w:val="16"/>
          <w:shd w:fill="auto" w:val="clear"/>
        </w:rPr>
        <w:t xml:space="preserve">Réglementations UE</w:t>
      </w:r>
    </w:p>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Annexe XVII de REACH (Liste de restriction)</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1696"/>
        <w:gridCol w:w="2552"/>
        <w:gridCol w:w="4814"/>
      </w:tblGrid>
      <w:tr>
        <w:trPr>
          <w:trHeight w:val="1" w:hRule="atLeast"/>
          <w:jc w:val="left"/>
        </w:trPr>
        <w:tc>
          <w:tcPr>
            <w:tcW w:w="9062" w:type="dxa"/>
            <w:gridSpan w:val="3"/>
            <w:tcBorders>
              <w:top w:val="single" w:color="548dd4" w:sz="4"/>
              <w:left w:val="single" w:color="548dd4" w:sz="4"/>
              <w:bottom w:val="single" w:color="548dd4" w:sz="4"/>
              <w:right w:val="single" w:color="548dd4"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Liste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restriction</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l’Union</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européenne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(annexe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XVII</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REACH)</w:t>
            </w:r>
          </w:p>
          <w:p>
            <w:pPr>
              <w:spacing w:before="0" w:after="0" w:line="240"/>
              <w:ind w:right="0" w:left="0" w:firstLine="0"/>
              <w:jc w:val="left"/>
              <w:rPr>
                <w:position w:val="0"/>
                <w:shd w:fill="auto" w:val="clear"/>
              </w:rPr>
            </w:pPr>
          </w:p>
        </w:tc>
      </w:tr>
      <w:tr>
        <w:trPr>
          <w:trHeight w:val="1" w:hRule="atLeast"/>
          <w:jc w:val="left"/>
        </w:trPr>
        <w:tc>
          <w:tcPr>
            <w:tcW w:w="1696" w:type="dxa"/>
            <w:tcBorders>
              <w:top w:val="single" w:color="548dd4" w:sz="4"/>
              <w:left w:val="single" w:color="548dd4" w:sz="4"/>
              <w:bottom w:val="single" w:color="548dd4" w:sz="4"/>
              <w:right w:val="single" w:color="548dd4" w:sz="4"/>
            </w:tcBorders>
            <w:shd w:color="auto" w:fill="92cddc"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0070C0"/>
                <w:spacing w:val="0"/>
                <w:position w:val="0"/>
                <w:sz w:val="16"/>
                <w:shd w:fill="auto" w:val="clear"/>
              </w:rPr>
              <w:t xml:space="preserve">Code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référence</w:t>
            </w:r>
          </w:p>
        </w:tc>
        <w:tc>
          <w:tcPr>
            <w:tcW w:w="2552" w:type="dxa"/>
            <w:tcBorders>
              <w:top w:val="single" w:color="548dd4" w:sz="4"/>
              <w:left w:val="single" w:color="548dd4" w:sz="4"/>
              <w:bottom w:val="single" w:color="548dd4" w:sz="4"/>
              <w:right w:val="single" w:color="548dd4" w:sz="4"/>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Applicable sur</w:t>
            </w:r>
          </w:p>
        </w:tc>
        <w:tc>
          <w:tcPr>
            <w:tcW w:w="4814" w:type="dxa"/>
            <w:tcBorders>
              <w:top w:val="single" w:color="548dd4" w:sz="4"/>
              <w:left w:val="single" w:color="548dd4" w:sz="4"/>
              <w:bottom w:val="single" w:color="548dd4" w:sz="4"/>
              <w:right w:val="single" w:color="548dd4"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Titre de l'entrée ou description</w:t>
            </w:r>
          </w:p>
          <w:p>
            <w:pPr>
              <w:spacing w:before="0" w:after="0" w:line="240"/>
              <w:ind w:right="0" w:left="0" w:firstLine="0"/>
              <w:jc w:val="left"/>
              <w:rPr>
                <w:spacing w:val="0"/>
                <w:position w:val="0"/>
                <w:shd w:fill="auto" w:val="clear"/>
              </w:rPr>
            </w:pPr>
          </w:p>
        </w:tc>
      </w:tr>
      <w:tr>
        <w:trPr>
          <w:trHeight w:val="1" w:hRule="atLeast"/>
          <w:jc w:val="left"/>
        </w:trPr>
        <w:tc>
          <w:tcPr>
            <w:tcW w:w="1696"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4"/>
                <w:position w:val="0"/>
                <w:sz w:val="16"/>
                <w:shd w:fill="auto" w:val="clear"/>
              </w:rPr>
              <w:t xml:space="preserve">3(b)</w:t>
            </w:r>
          </w:p>
        </w:tc>
        <w:tc>
          <w:tcPr>
            <w:tcW w:w="2552"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57" w:after="0" w:line="288"/>
              <w:ind w:right="18" w:left="56"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Confiture de mûres BEL022 ; Aldehyde C-16 ;</w:t>
            </w:r>
          </w:p>
        </w:tc>
        <w:tc>
          <w:tcPr>
            <w:tcW w:w="4814"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trPr>
          <w:trHeight w:val="1" w:hRule="atLeast"/>
          <w:jc w:val="left"/>
        </w:trPr>
        <w:tc>
          <w:tcPr>
            <w:tcW w:w="1696"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4"/>
                <w:position w:val="0"/>
                <w:sz w:val="16"/>
                <w:shd w:fill="auto" w:val="clear"/>
              </w:rPr>
              <w:t xml:space="preserve">3(c)</w:t>
            </w:r>
          </w:p>
        </w:tc>
        <w:tc>
          <w:tcPr>
            <w:tcW w:w="2552"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57" w:after="0" w:line="288"/>
              <w:ind w:right="18" w:left="56"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Confiture de mûres BEL022; Aldehyde C-16 ;</w:t>
            </w:r>
          </w:p>
        </w:tc>
        <w:tc>
          <w:tcPr>
            <w:tcW w:w="4814" w:type="dxa"/>
            <w:tcBorders>
              <w:top w:val="single" w:color="548dd4" w:sz="4"/>
              <w:left w:val="single" w:color="548dd4" w:sz="4"/>
              <w:bottom w:val="single" w:color="548dd4" w:sz="4"/>
              <w:right w:val="single" w:color="548dd4"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Substances ou mélanges qui répondent aux critères pour une des classes ou catégories de danger ci-après, visées à l'annexe I du règlement (CE) n° 1272/2008: Classe de danger 4.1</w:t>
            </w:r>
          </w:p>
        </w:tc>
      </w:tr>
    </w:tbl>
    <w:p>
      <w:pPr>
        <w:spacing w:before="122" w:after="0" w:line="240"/>
        <w:ind w:right="0" w:left="-567"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Annexe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XIV</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REACH</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(Liste</w:t>
      </w:r>
      <w:r>
        <w:rPr>
          <w:rFonts w:ascii="Arial" w:hAnsi="Arial" w:cs="Arial" w:eastAsia="Arial"/>
          <w:b/>
          <w:color w:val="0070C0"/>
          <w:spacing w:val="-1"/>
          <w:position w:val="0"/>
          <w:sz w:val="16"/>
          <w:shd w:fill="auto" w:val="clear"/>
        </w:rPr>
        <w:t xml:space="preserve"> </w:t>
      </w:r>
      <w:r>
        <w:rPr>
          <w:rFonts w:ascii="Arial" w:hAnsi="Arial" w:cs="Arial" w:eastAsia="Arial"/>
          <w:b/>
          <w:color w:val="0070C0"/>
          <w:spacing w:val="-2"/>
          <w:position w:val="0"/>
          <w:sz w:val="16"/>
          <w:shd w:fill="auto" w:val="clear"/>
        </w:rPr>
        <w:t xml:space="preserve">d’autorisation</w:t>
      </w:r>
    </w:p>
    <w:p>
      <w:pPr>
        <w:spacing w:before="122"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l’annexe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XIV</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REACH</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d’autorisation)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Liste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candidate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REACH</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2"/>
          <w:position w:val="0"/>
          <w:sz w:val="16"/>
          <w:shd w:fill="auto" w:val="clear"/>
        </w:rPr>
        <w:t xml:space="preserve">(SVHC)</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candidates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REACH</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PIC</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649/2012,</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consentement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préalable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en</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connaissance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2"/>
          <w:position w:val="0"/>
          <w:sz w:val="16"/>
          <w:shd w:fill="auto" w:val="clear"/>
        </w:rPr>
        <w:t xml:space="preserve">cause)</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PIC</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649/2012</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concernant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exportations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importations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produits chimiques dangereux)</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POP</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2019/1021,</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polluants</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organiques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persistants)</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POP</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2019/1021</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sur</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polluants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organiques</w:t>
      </w:r>
      <w:r>
        <w:rPr>
          <w:rFonts w:ascii="Arial" w:hAnsi="Arial" w:cs="Arial" w:eastAsia="Arial"/>
          <w:color w:val="auto"/>
          <w:spacing w:val="-2"/>
          <w:position w:val="0"/>
          <w:sz w:val="16"/>
          <w:shd w:fill="auto" w:val="clear"/>
        </w:rPr>
        <w:t xml:space="preserve"> persistants)</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l’appauvrissement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la</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couche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d’ozone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1005/2009)</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aucune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listée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appauvrissant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couche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d’ozone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1005/2009</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 substances appauvrissant la couche d’ozone)</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d’explosifs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2"/>
          <w:position w:val="0"/>
          <w:sz w:val="16"/>
          <w:shd w:fill="auto" w:val="clear"/>
        </w:rPr>
        <w:t xml:space="preserve"> 2019/1148)</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d’explosifs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2019/1148</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commercialisation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 l’utilisation des précurseurs d’explosifs)</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drogues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(CE</w:t>
      </w:r>
      <w:r>
        <w:rPr>
          <w:rFonts w:ascii="Arial" w:hAnsi="Arial" w:cs="Arial" w:eastAsia="Arial"/>
          <w:b/>
          <w:color w:val="0070C0"/>
          <w:spacing w:val="-1"/>
          <w:position w:val="0"/>
          <w:sz w:val="16"/>
          <w:shd w:fill="auto" w:val="clear"/>
        </w:rPr>
        <w:t xml:space="preserve"> </w:t>
      </w:r>
      <w:r>
        <w:rPr>
          <w:rFonts w:ascii="Arial" w:hAnsi="Arial" w:cs="Arial" w:eastAsia="Arial"/>
          <w:b/>
          <w:color w:val="0070C0"/>
          <w:spacing w:val="-2"/>
          <w:position w:val="0"/>
          <w:sz w:val="16"/>
          <w:shd w:fill="auto" w:val="clear"/>
        </w:rPr>
        <w:t xml:space="preserve">273/2004)</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drogues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273/2004</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fabrication</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mise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sur le marché de certaines substances utilisées pour la fabrication illicite de stupéfiants et de substances psychotropes).</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H317</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