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136" w:line="259"/>
        <w:ind w:right="84" w:left="0" w:firstLine="0"/>
        <w:jc w:val="center"/>
        <w:rPr>
          <w:rFonts w:ascii="Arial" w:hAnsi="Arial" w:cs="Arial" w:eastAsia="Arial"/>
          <w:b/>
          <w:color w:val="073D48"/>
          <w:spacing w:val="0"/>
          <w:position w:val="0"/>
          <w:sz w:val="32"/>
          <w:shd w:fill="D49C14" w:val="clear"/>
        </w:rPr>
      </w:pPr>
      <w:r>
        <w:rPr>
          <w:rFonts w:ascii="Arial" w:hAnsi="Arial" w:cs="Arial" w:eastAsia="Arial"/>
          <w:b/>
          <w:color w:val="073D48"/>
          <w:spacing w:val="0"/>
          <w:position w:val="0"/>
          <w:sz w:val="32"/>
          <w:shd w:fill="D49C14" w:val="clear"/>
        </w:rPr>
        <w:t xml:space="preserve">Linge frais 10%</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 Identificateur de produit</w:t>
      </w:r>
    </w:p>
    <w:p>
      <w:pPr>
        <w:spacing w:before="0" w:after="100" w:line="240"/>
        <w:ind w:right="8007" w:left="-5" w:hanging="10"/>
        <w:jc w:val="left"/>
        <w:rPr>
          <w:rFonts w:ascii="Microsoft Sans Serif" w:hAnsi="Microsoft Sans Serif" w:cs="Microsoft Sans Serif" w:eastAsia="Microsoft Sans Serif"/>
          <w:color w:val="073D48"/>
          <w:spacing w:val="0"/>
          <w:position w:val="0"/>
          <w:sz w:val="17"/>
          <w:shd w:fill="auto" w:val="clear"/>
        </w:rPr>
      </w:pPr>
      <w:r>
        <w:rPr>
          <w:rFonts w:ascii="Microsoft Sans Serif" w:hAnsi="Microsoft Sans Serif" w:cs="Microsoft Sans Serif" w:eastAsia="Microsoft Sans Serif"/>
          <w:color w:val="073D48"/>
          <w:spacing w:val="0"/>
          <w:position w:val="0"/>
          <w:sz w:val="17"/>
          <w:shd w:fill="auto" w:val="clear"/>
        </w:rPr>
        <w:t xml:space="preserve">Linge frais 10% </w:t>
      </w:r>
    </w:p>
    <w:p>
      <w:pPr>
        <w:spacing w:before="0" w:after="100" w:line="240"/>
        <w:ind w:right="0" w:left="0" w:firstLine="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UFI : NON</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 Renseignements concernant le fournisseur de la fiche de données de sécurité</w:t>
      </w:r>
    </w:p>
    <w:p>
      <w:pPr>
        <w:spacing w:before="0" w:after="3" w:line="265"/>
        <w:ind w:right="0" w:left="747" w:hanging="10"/>
        <w:jc w:val="both"/>
        <w:rPr>
          <w:rFonts w:ascii="Arial" w:hAnsi="Arial" w:cs="Arial" w:eastAsia="Arial"/>
          <w:b/>
          <w:color w:val="073D48"/>
          <w:spacing w:val="0"/>
          <w:position w:val="0"/>
          <w:sz w:val="20"/>
          <w:shd w:fill="auto" w:val="clear"/>
        </w:rPr>
      </w:pPr>
      <w:r>
        <w:rPr>
          <w:rFonts w:ascii="Arial" w:hAnsi="Arial" w:cs="Arial" w:eastAsia="Arial"/>
          <w:color w:val="073D48"/>
          <w:spacing w:val="0"/>
          <w:position w:val="0"/>
          <w:sz w:val="20"/>
          <w:shd w:fill="auto" w:val="clear"/>
        </w:rPr>
        <w:tab/>
      </w:r>
      <w:r>
        <w:rPr>
          <w:rFonts w:ascii="Arial" w:hAnsi="Arial" w:cs="Arial" w:eastAsia="Arial"/>
          <w:b/>
          <w:color w:val="073D48"/>
          <w:spacing w:val="0"/>
          <w:position w:val="0"/>
          <w:sz w:val="20"/>
          <w:shd w:fill="auto" w:val="clear"/>
        </w:rPr>
        <w:t xml:space="preserve">Fabricant :</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153" w:line="265"/>
        <w:ind w:right="67" w:left="747" w:hanging="10"/>
        <w:jc w:val="both"/>
        <w:rPr>
          <w:rFonts w:ascii="Arial" w:hAnsi="Arial" w:cs="Arial" w:eastAsia="Arial"/>
          <w:color w:val="073D48"/>
          <w:spacing w:val="0"/>
          <w:position w:val="0"/>
          <w:sz w:val="20"/>
          <w:shd w:fill="auto" w:val="clear"/>
        </w:rPr>
      </w:pP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73D48"/>
          <w:spacing w:val="0"/>
          <w:position w:val="0"/>
          <w:sz w:val="20"/>
          <w:shd w:fill="auto" w:val="clear"/>
        </w:rPr>
      </w:pPr>
      <w:r>
        <w:rPr>
          <w:rFonts w:ascii="Arial" w:hAnsi="Arial" w:cs="Arial" w:eastAsia="Arial"/>
          <w:i/>
          <w:color w:val="073D48"/>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spacing w:before="0" w:after="82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H412 - Nocif pour les organismes aquatiques, entraîne des effets néfastes à long terme.</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EUH208 - Contient methyl cedryl ketone (vertofix coeur), 2-(phenylmethylidene)octanal (alpha-hexyl cinnamaldehyde), 3,7dimethyloct-6-en-1-ol (citronellol), 2-methoxy-4-prop-2-enylphenol (eugenol), hexyl 2-hydroxybenzoate (hexyl salicylate), 7hydroxy-3,7-dimethyloctanal (hydroxycitronellal), (E)-1-(2,6,6-trimethyl-1-cyclohex-3-enyl)but-2-en-1-one (delta-damascone).  Peut produire une réaction allergique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204"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EUH208 - Contient methyl cedryl ketone (vertofix coeur), 2-(phenylmethylidene)octanal (alpha-hexyl cinnamaldehyde), 3,7-dimethyloct-6-en-1-ol (citronellol), 2-methoxy-4-prop-2-enylphenol (eugenol), hexyl 2-hydroxybenzoate (hexyl salicylate), 7-hydroxy-3,7-dimethyloctanal (hydroxycitronellal), (E)-1-(2,6,6-trimethyl-1-cyclohex-3-enyl)but-2-en-1-one (delta-damascone).  Peut produire une réaction allergique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3.1. Substances</w:t>
      </w:r>
    </w:p>
    <w:p>
      <w:pPr>
        <w:spacing w:before="0" w:after="111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3.2. Mélanges</w:t>
      </w:r>
    </w:p>
    <w:tbl>
      <w:tblPr/>
      <w:tblGrid>
        <w:gridCol w:w="3511"/>
        <w:gridCol w:w="991"/>
        <w:gridCol w:w="779"/>
        <w:gridCol w:w="2997"/>
        <w:gridCol w:w="1318"/>
      </w:tblGrid>
      <w:tr>
        <w:trPr>
          <w:trHeight w:val="349" w:hRule="auto"/>
          <w:jc w:val="left"/>
        </w:trPr>
        <w:tc>
          <w:tcPr>
            <w:tcW w:w="3511" w:type="dxa"/>
            <w:tcBorders>
              <w:top w:val="single" w:color="000000" w:sz="2"/>
              <w:left w:val="single" w:color="000000" w:sz="2"/>
              <w:bottom w:val="single" w:color="c0c0c0" w:sz="2"/>
              <w:right w:val="single" w:color="000000" w:sz="4"/>
            </w:tcBorders>
            <w:shd w:color="000000" w:fill="ffffff" w:val="clear"/>
            <w:tcMar>
              <w:left w:w="53" w:type="dxa"/>
              <w:right w:w="53" w:type="dxa"/>
            </w:tcMar>
            <w:vAlign w:val="top"/>
          </w:tcPr>
          <w:p>
            <w:pPr>
              <w:spacing w:before="0" w:after="0" w:line="259"/>
              <w:ind w:right="0" w:left="29" w:firstLine="0"/>
              <w:jc w:val="center"/>
              <w:rPr>
                <w:spacing w:val="0"/>
                <w:position w:val="0"/>
                <w:shd w:fill="auto" w:val="clear"/>
              </w:rPr>
            </w:pPr>
            <w:r>
              <w:rPr>
                <w:rFonts w:ascii="Arial" w:hAnsi="Arial" w:cs="Arial" w:eastAsia="Arial"/>
                <w:color w:val="073D48"/>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3" w:type="dxa"/>
              <w:right w:w="53" w:type="dxa"/>
            </w:tcMar>
            <w:vAlign w:val="top"/>
          </w:tcPr>
          <w:p>
            <w:pPr>
              <w:spacing w:before="0" w:after="0" w:line="259"/>
              <w:ind w:right="0" w:left="33" w:firstLine="0"/>
              <w:jc w:val="center"/>
              <w:rPr>
                <w:spacing w:val="0"/>
                <w:position w:val="0"/>
                <w:shd w:fill="auto" w:val="clear"/>
              </w:rPr>
            </w:pPr>
            <w:r>
              <w:rPr>
                <w:rFonts w:ascii="Arial" w:hAnsi="Arial" w:cs="Arial" w:eastAsia="Arial"/>
                <w:color w:val="073D48"/>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3" w:type="dxa"/>
              <w:right w:w="53" w:type="dxa"/>
            </w:tcMar>
            <w:vAlign w:val="top"/>
          </w:tcPr>
          <w:p>
            <w:pPr>
              <w:spacing w:before="0" w:after="0" w:line="259"/>
              <w:ind w:right="0" w:left="43" w:firstLine="0"/>
              <w:jc w:val="both"/>
              <w:rPr>
                <w:spacing w:val="0"/>
                <w:position w:val="0"/>
                <w:shd w:fill="auto" w:val="clear"/>
              </w:rPr>
            </w:pPr>
            <w:r>
              <w:rPr>
                <w:rFonts w:ascii="Arial" w:hAnsi="Arial" w:cs="Arial" w:eastAsia="Arial"/>
                <w:color w:val="073D48"/>
                <w:spacing w:val="0"/>
                <w:position w:val="0"/>
                <w:sz w:val="16"/>
                <w:shd w:fill="auto" w:val="clear"/>
              </w:rPr>
              <w:t xml:space="preserve">EINECS</w:t>
            </w:r>
          </w:p>
        </w:tc>
        <w:tc>
          <w:tcPr>
            <w:tcW w:w="2997"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6" w:firstLine="0"/>
              <w:jc w:val="center"/>
              <w:rPr>
                <w:spacing w:val="0"/>
                <w:position w:val="0"/>
                <w:shd w:fill="auto" w:val="clear"/>
              </w:rPr>
            </w:pPr>
            <w:r>
              <w:rPr>
                <w:rFonts w:ascii="Arial" w:hAnsi="Arial" w:cs="Arial" w:eastAsia="Arial"/>
                <w:color w:val="073D48"/>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3" w:type="dxa"/>
              <w:right w:w="53" w:type="dxa"/>
            </w:tcMar>
            <w:vAlign w:val="top"/>
          </w:tcPr>
          <w:p>
            <w:pPr>
              <w:spacing w:before="0" w:after="0" w:line="259"/>
              <w:ind w:right="0" w:left="62" w:firstLine="0"/>
              <w:jc w:val="left"/>
              <w:rPr>
                <w:spacing w:val="0"/>
                <w:position w:val="0"/>
                <w:shd w:fill="auto" w:val="clear"/>
              </w:rPr>
            </w:pPr>
            <w:r>
              <w:rPr>
                <w:rFonts w:ascii="Arial" w:hAnsi="Arial" w:cs="Arial" w:eastAsia="Arial"/>
                <w:color w:val="073D48"/>
                <w:spacing w:val="0"/>
                <w:position w:val="0"/>
                <w:sz w:val="16"/>
                <w:shd w:fill="auto" w:val="clear"/>
              </w:rPr>
              <w:t xml:space="preserve">Pourcentage %</w:t>
            </w:r>
          </w:p>
        </w:tc>
      </w:tr>
      <w:tr>
        <w:trPr>
          <w:trHeight w:val="838" w:hRule="auto"/>
          <w:jc w:val="left"/>
        </w:trPr>
        <w:tc>
          <w:tcPr>
            <w:tcW w:w="3511" w:type="dxa"/>
            <w:tcBorders>
              <w:top w:val="single" w:color="c0c0c0" w:sz="2"/>
              <w:left w:val="single" w:color="c0c0c0" w:sz="2"/>
              <w:bottom w:val="single" w:color="c0c0c0" w:sz="3"/>
              <w:right w:val="single" w:color="c0c0c0" w:sz="4"/>
            </w:tcBorders>
            <w:shd w:color="000000" w:fill="ffffff" w:val="clear"/>
            <w:tcMar>
              <w:left w:w="53" w:type="dxa"/>
              <w:right w:w="53" w:type="dxa"/>
            </w:tcMar>
            <w:vAlign w:val="center"/>
          </w:tcPr>
          <w:p>
            <w:pPr>
              <w:spacing w:before="0" w:after="0" w:line="240"/>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(E)-1-(2,6,6-trimethyl-1-cyclohex-3-enyl)but-2-e n-1-one (delta-damascone)   (No REACH :</w:t>
            </w:r>
          </w:p>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01-2119535122-53-0000)</w:t>
            </w:r>
          </w:p>
        </w:tc>
        <w:tc>
          <w:tcPr>
            <w:tcW w:w="991"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88" w:firstLine="0"/>
              <w:jc w:val="left"/>
              <w:rPr>
                <w:spacing w:val="0"/>
                <w:position w:val="0"/>
                <w:shd w:fill="auto" w:val="clear"/>
              </w:rPr>
            </w:pPr>
            <w:r>
              <w:rPr>
                <w:rFonts w:ascii="Arial" w:hAnsi="Arial" w:cs="Arial" w:eastAsia="Arial"/>
                <w:color w:val="073D48"/>
                <w:spacing w:val="0"/>
                <w:position w:val="0"/>
                <w:sz w:val="14"/>
                <w:shd w:fill="auto" w:val="clear"/>
              </w:rPr>
              <w:t xml:space="preserve">57378-68-4</w:t>
            </w:r>
          </w:p>
        </w:tc>
        <w:tc>
          <w:tcPr>
            <w:tcW w:w="779"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275-156-8</w:t>
            </w:r>
          </w:p>
        </w:tc>
        <w:tc>
          <w:tcPr>
            <w:tcW w:w="2997"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Acute Tox. 4, Eye Irrit. 2, Aquatic Acute</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1, Aquatic Chronic 1, Skin Irrit. 2, Skin</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Sens. 1A - H302, H315, H317, H319,</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H410</w:t>
            </w:r>
          </w:p>
        </w:tc>
        <w:tc>
          <w:tcPr>
            <w:tcW w:w="1318" w:type="dxa"/>
            <w:tcBorders>
              <w:top w:val="single" w:color="c0c0c0" w:sz="2"/>
              <w:left w:val="single" w:color="c0c0c0" w:sz="4"/>
              <w:bottom w:val="single" w:color="c0c0c0" w:sz="3"/>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both"/>
              <w:rPr>
                <w:spacing w:val="0"/>
                <w:position w:val="0"/>
                <w:shd w:fill="auto" w:val="clear"/>
              </w:rPr>
            </w:pPr>
            <w:r>
              <w:rPr>
                <w:rFonts w:ascii="Arial" w:hAnsi="Arial" w:cs="Arial" w:eastAsia="Arial"/>
                <w:color w:val="073D48"/>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214-946-9</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Aquatic Acute 1, Aquatic Chronic 1 -</w:t>
            </w:r>
          </w:p>
          <w:p>
            <w:pPr>
              <w:spacing w:before="0" w:after="0" w:line="259"/>
              <w:ind w:right="0" w:left="2" w:firstLine="0"/>
              <w:jc w:val="left"/>
              <w:rPr>
                <w:spacing w:val="0"/>
                <w:position w:val="0"/>
                <w:shd w:fill="auto" w:val="clear"/>
              </w:rPr>
            </w:pPr>
            <w:r>
              <w:rPr>
                <w:rFonts w:ascii="Arial" w:hAnsi="Arial" w:cs="Arial" w:eastAsia="Arial"/>
                <w:color w:val="073D48"/>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2-(phenylmethylidene)octanal (alpha-hexyl cinnamaldehyde)   (No REACH :</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01-2119533092-50-XXXX)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101-86-0</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202-983-3</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57" w:left="2"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2, Skin Sens. 1B - H317, H400, H411</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8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2-methoxy-4-prop-2-enylphenol (eugenol)   (No</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REACH : 01-2119971802-33-XXXX)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97-53-0</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202-589-1</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73D48"/>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87"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3,7-dimethyloct-6-en-1-ol (citronellol)   (No</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REACH : 01-2119453995-23-XXXX)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106-22-9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203-375-0</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73D48"/>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7-hydroxy-3,7-dimethyloctanal</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(hydroxycitronellal)   (No REACH :</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01-2119973482-31-XXXX)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107-75-5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203-518-7</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73D48"/>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8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hexyl 2-hydroxybenzoate (hexyl salicylate)   (No REACH : 01-2119638275-36-0000)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6259-76-3</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228-408-6</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57" w:left="2"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7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methyl cedryl ketone (vertofix coeur)   (No REACH : 01-2119969651-28-XXXX)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32388-55-9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251-020-3</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57" w:left="2"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COMPOSITION : Mélange de matières premières aromatiques.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4: PREMIERS SECOURS</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spacing w:before="0" w:after="3" w:line="427"/>
        <w:ind w:right="3754"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numPr>
          <w:ilvl w:val="0"/>
          <w:numId w:val="125"/>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dioxyde de carbone                                                                                                             </w:t>
      </w:r>
    </w:p>
    <w:p>
      <w:pPr>
        <w:numPr>
          <w:ilvl w:val="0"/>
          <w:numId w:val="125"/>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monoxyde de carbone.</w:t>
      </w:r>
    </w:p>
    <w:p>
      <w:pPr>
        <w:spacing w:before="0" w:after="92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6: MESURES A PRENDRE EN CAS DE DISPERSION ACCIDENTELLE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spacing w:before="0" w:after="91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spacing w:before="0" w:after="88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tabs>
          <w:tab w:val="center" w:pos="5144"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spacing w:before="0" w:after="1976" w:line="265"/>
        <w:ind w:right="2006"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9: PROPRIETES PHYSIQUES ET CHIMIQUES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9.1. Informations sur les propriétés physiques et chimiques essentielles</w:t>
      </w:r>
    </w:p>
    <w:p>
      <w:pPr>
        <w:spacing w:before="0" w:after="10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Etat physique (@20°C-1 atm.) :</w:t>
      </w:r>
    </w:p>
    <w:p>
      <w:pPr>
        <w:spacing w:before="0" w:after="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Couleur :</w:t>
      </w:r>
    </w:p>
    <w:tbl>
      <w:tblPr/>
      <w:tblGrid>
        <w:gridCol w:w="3096"/>
        <w:gridCol w:w="2314"/>
      </w:tblGrid>
      <w:tr>
        <w:trPr>
          <w:trHeight w:val="27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88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669"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73D48"/>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 (liquide)</w:t>
            </w:r>
          </w:p>
        </w:tc>
      </w:tr>
    </w:tbl>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9.2. Autres informations</w:t>
      </w:r>
    </w:p>
    <w:p>
      <w:pPr>
        <w:spacing w:before="0" w:after="166"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Indice de réfraction (@20°C)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10.2. Stabilité chimique</w:t>
      </w:r>
    </w:p>
    <w:p>
      <w:pPr>
        <w:spacing w:before="0" w:after="70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 ETAmélange (inhal.) = Non déterminée (mg/l/4 h)</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corrosion cutanée/irritation cutanée voir section 2</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 voir section 2</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sensibilisation respiratoire ou cutanée voir section 2</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mutagénicité sur les cellules germinales voir section 2</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cancérogénicité voir section 2</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pour la reproduction voir section 2</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uniquevoir section 2</w:t>
      </w:r>
    </w:p>
    <w:p>
      <w:pPr>
        <w:numPr>
          <w:ilvl w:val="0"/>
          <w:numId w:val="23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répétée voir section 2</w:t>
      </w:r>
    </w:p>
    <w:p>
      <w:pPr>
        <w:numPr>
          <w:ilvl w:val="0"/>
          <w:numId w:val="237"/>
        </w:numPr>
        <w:spacing w:before="0" w:after="915"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danger par aspiration voir section 2</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  Informations sur les autres dangers</w:t>
      </w:r>
    </w:p>
    <w:p>
      <w:pPr>
        <w:numPr>
          <w:ilvl w:val="0"/>
          <w:numId w:val="240"/>
        </w:numPr>
        <w:spacing w:before="0" w:after="193"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Propriétés perturbant le système endocrinien: pas de données à ce jour.</w:t>
      </w:r>
    </w:p>
    <w:p>
      <w:pPr>
        <w:numPr>
          <w:ilvl w:val="0"/>
          <w:numId w:val="240"/>
        </w:numPr>
        <w:spacing w:before="0" w:after="730"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12.1. Toxicité</w:t>
      </w:r>
    </w:p>
    <w:p>
      <w:pPr>
        <w:spacing w:before="0" w:after="70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12.2. Persistance et dégradabilité</w:t>
      </w:r>
    </w:p>
    <w:p>
      <w:pPr>
        <w:spacing w:before="0" w:after="701" w:line="259"/>
        <w:ind w:right="0" w:left="56"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données à ce jour.</w:t>
      </w:r>
    </w:p>
    <w:p>
      <w:pPr>
        <w:spacing w:before="0" w:after="3" w:line="265"/>
        <w:ind w:right="0" w:left="747" w:hanging="10"/>
        <w:jc w:val="both"/>
        <w:rPr>
          <w:rFonts w:ascii="Arial" w:hAnsi="Arial" w:cs="Arial" w:eastAsia="Arial"/>
          <w:color w:val="073D48"/>
          <w:spacing w:val="0"/>
          <w:position w:val="0"/>
          <w:sz w:val="20"/>
          <w:shd w:fill="auto" w:val="clear"/>
        </w:rPr>
      </w:pPr>
    </w:p>
    <w:tbl>
      <w:tblPr/>
      <w:tblGrid>
        <w:gridCol w:w="6615"/>
        <w:gridCol w:w="3025"/>
      </w:tblGrid>
      <w:tr>
        <w:trPr>
          <w:trHeight w:val="77" w:hRule="auto"/>
          <w:jc w:val="left"/>
        </w:trPr>
        <w:tc>
          <w:tcPr>
            <w:tcW w:w="9640" w:type="dxa"/>
            <w:gridSpan w:val="2"/>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8212" w:hRule="auto"/>
          <w:jc w:val="left"/>
        </w:trPr>
        <w:tc>
          <w:tcPr>
            <w:tcW w:w="6615"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08" w:line="259"/>
              <w:ind w:right="0" w:left="0" w:firstLine="0"/>
              <w:jc w:val="left"/>
              <w:rPr>
                <w:rFonts w:ascii="Arial" w:hAnsi="Arial" w:cs="Arial" w:eastAsia="Arial"/>
                <w:color w:val="073D48"/>
                <w:spacing w:val="0"/>
                <w:position w:val="0"/>
                <w:sz w:val="20"/>
                <w:shd w:fill="auto" w:val="clear"/>
              </w:rPr>
            </w:pPr>
          </w:p>
          <w:p>
            <w:pPr>
              <w:spacing w:before="0" w:after="542" w:line="427"/>
              <w:ind w:right="2389"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12.3. Potentiel de bioaccumulation Pas de données à ce jour.</w:t>
            </w:r>
          </w:p>
          <w:p>
            <w:pPr>
              <w:spacing w:before="0" w:after="542" w:line="427"/>
              <w:ind w:right="324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12.4. Mobilité dans le sol Pas de données à ce jour.</w:t>
            </w:r>
          </w:p>
          <w:p>
            <w:pPr>
              <w:spacing w:before="0" w:after="545" w:line="425"/>
              <w:ind w:right="1486"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73D48"/>
                <w:spacing w:val="0"/>
                <w:position w:val="0"/>
                <w:sz w:val="20"/>
                <w:shd w:fill="auto" w:val="clear"/>
              </w:rPr>
              <w:t xml:space="preserve">12.7. Autres effets néfastes Pas de données à ce jour.</w:t>
            </w:r>
          </w:p>
        </w:tc>
        <w:tc>
          <w:tcPr>
            <w:tcW w:w="3025"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133"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67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14.5. Dangers pour l’environnement</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14.6. Précautions particulières à prendre par l’utilisateur</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14.7. Transport maritime en vrac conformément aux instruments de l’OMI</w:t>
      </w:r>
    </w:p>
    <w:p>
      <w:pPr>
        <w:spacing w:before="0" w:after="192"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73D48"/>
          <w:spacing w:val="0"/>
          <w:position w:val="0"/>
          <w:sz w:val="20"/>
          <w:shd w:fill="auto" w:val="clear"/>
        </w:rPr>
      </w:pPr>
      <w:r>
        <w:rPr>
          <w:rFonts w:ascii="Arial" w:hAnsi="Arial" w:cs="Arial" w:eastAsia="Arial"/>
          <w:b/>
          <w:color w:val="073D48"/>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H319</w:t>
        <w:tab/>
        <w:t xml:space="preserve">Provoque une sévère irritation des yeux.</w:t>
      </w:r>
    </w:p>
    <w:p>
      <w:pPr>
        <w:tabs>
          <w:tab w:val="center" w:pos="3528"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5">
    <w:abstractNumId w:val="12"/>
  </w:num>
  <w:num w:numId="237">
    <w:abstractNumId w:val="6"/>
  </w:num>
  <w:num w:numId="2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