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 : Identification de la substance/du mélange et de la société/de l’entreprise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984806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173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1.1. Identificateur de produit</w:t>
            </w:r>
          </w:p>
        </w:tc>
      </w:tr>
    </w:tbl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Nom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MONOÏ ABRICOT 10</w:t>
      </w:r>
      <w:r>
        <w:rPr>
          <w:rFonts w:ascii="Arial" w:hAnsi="Arial" w:cs="Arial" w:eastAsia="Arial"/>
          <w:b/>
          <w:color w:val="auto"/>
          <w:spacing w:val="-2"/>
          <w:position w:val="0"/>
          <w:sz w:val="16"/>
          <w:shd w:fill="auto" w:val="clear"/>
        </w:rPr>
        <w:t xml:space="preserve">%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1.2. Utilisations identifiées pertinentes de la substance ou du mélange et utilisations déconseillées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565" w:leader="none"/>
        </w:tabs>
        <w:spacing w:before="120" w:after="0" w:line="240"/>
        <w:ind w:right="0" w:left="564" w:hanging="445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Utilisations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identifiées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-2"/>
          <w:position w:val="0"/>
          <w:sz w:val="16"/>
          <w:shd w:fill="auto" w:val="clear"/>
        </w:rPr>
        <w:t xml:space="preserve">pertinentes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Catégorie d'usage principal</w:t>
        <w:tab/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Bougie/Fondant parfumé à destination du grand public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1.3. Renseignements concernant le fournisseur de la fiche de données de sécurité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6"/>
        <w:gridCol w:w="5806"/>
      </w:tblGrid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NOM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ADRESSE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TELEPHONE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MAIL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1.4. Numéro d’appel d’urgence</w:t>
            </w:r>
          </w:p>
        </w:tc>
      </w:tr>
    </w:tbl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Belgique : +32 070 245 245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France : +33 (0)1 45 42 59 59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Luxembourg : +32 (0) 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2 : Identification des dangers</w:t>
            </w:r>
          </w:p>
        </w:tc>
      </w:tr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2.1 Classification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Classification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6658"/>
        <w:gridCol w:w="2404"/>
      </w:tblGrid>
      <w:tr>
        <w:trPr>
          <w:trHeight w:val="1" w:hRule="atLeast"/>
          <w:jc w:val="left"/>
        </w:trPr>
        <w:tc>
          <w:tcPr>
            <w:tcW w:w="6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Sensibilisation cutan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ée catégorie 1B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Danger pour le milieu aquatique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Toxicit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chronique catégorie 3</w:t>
            </w:r>
          </w:p>
        </w:tc>
        <w:tc>
          <w:tcPr>
            <w:tcW w:w="24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2.2 Eléments d’étiquetage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Etiquetage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object w:dxaOrig="1020" w:dyaOrig="1020">
          <v:rect xmlns:o="urn:schemas-microsoft-com:office:office" xmlns:v="urn:schemas-microsoft-com:vml" id="rectole0000000000" style="width:51.000000pt;height:5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Pictogrammes de danger (CLP) 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d'avertissement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(CLP)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ab/>
        <w:t xml:space="preserve">ATTENTION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Mentions de dangers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H317 : Peut provoquer une allergie cutanée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H412 : Nocif pour les organismes aquatiques, entraîne des effets néfastes à long terme.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Conseils de prudence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271"/>
        <w:gridCol w:w="7791"/>
      </w:tblGrid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consultation d'un médecin, garder à disposition le récipient ou l'étiquette.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Tenir hors de portée des enfants.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Lire l'étiquette avant utilisation.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P273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 rejet dans l’environnement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P302+P352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CONTACT AVEC LA PEAU : Laver à l'eau et au savon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P332+P313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d'irritation cutanée : consulter un médecin.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P501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Éliminer le récipient dans une installation de recyclage ou d'élimination des déchets approuvée.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EUH208 : Contient :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Linalool, Coumarin, Hexyl cinnamaldehyde , 2-Methyl-3-(p-isopropylphenyl)propionaldehyde (cyclamen aldehyde), piperonal. Peut produire une réaction allergique.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2.3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Résultats des évaluations PBT/vPvB : 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3 : Composition/informations</w:t>
            </w:r>
            <w:r>
              <w:rPr>
                <w:rFonts w:ascii="Arial" w:hAnsi="Arial" w:cs="Arial" w:eastAsia="Arial"/>
                <w:b/>
                <w:color w:val="FFFFFF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sur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-2"/>
                <w:position w:val="0"/>
                <w:sz w:val="20"/>
                <w:shd w:fill="auto" w:val="clear"/>
              </w:rPr>
              <w:t xml:space="preserve">composants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3.1 Substances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3.2 Mélanges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65"/>
        <w:gridCol w:w="1413"/>
        <w:gridCol w:w="1468"/>
        <w:gridCol w:w="1360"/>
        <w:gridCol w:w="2828"/>
      </w:tblGrid>
      <w:tr>
        <w:trPr>
          <w:trHeight w:val="394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NOM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CAS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EC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Classification selon le règlement (CE) N° 1272/2008 [CLP]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Benzyl benzoate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120-51-4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204-402-9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1-2.5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2, H411;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1,3,4,6,7,8-hexahydro-4,6,6,7,8,8-hexamethylindeno[5,6-c]pyran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1222-05-5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214-946-9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 (M=1)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Linalool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78-70-6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201-134-4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gamma-Undecalactone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104-67-6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203-225-4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benzyl acetate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140-11-4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205-399-7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0.25-1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Coumarin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91-64-5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202-086-7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1B, H317;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Hexyl cinnamaldehyde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101-86-0</w:t>
              <w:tab/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202-983-3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1;H400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2;H411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2-Methyl-3-(p-isopropylphenyl)propionaldehyde (cyclamen aldehyde)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103-95-7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203-161-7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2, H315;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piperonal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120-57-0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204-409-7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0.1-0.25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Repr. 2, H361fd;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Texte intégral des mentions H et EUH : voir rubrique 16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4 :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4.1 Description des mesures de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inhalation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Transporter la personne à l’extérieur et la maintenir dans une position où elle peut confortablement respirer.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avec la peau</w:t>
              <w:tab/>
              <w:t xml:space="preserve">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Laver la peau avec beaucoup d'eau. En cas d’irritation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ou d'éruption cutanée: consulter un médecin.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oculaire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Rincer les yeux à l'eau par mesure de précaution.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ingestion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Appeler un centre antipoison ou un médecin en cas de malaise.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4.2 Principaux symptômes et effets, aigus et différés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4.3 Indication des éventuels soins médicaux immédiats et traitements particuliers nécessaires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Traitement symptomatique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5 : Mesures de lutte contre l’incendie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5.1 Moyens d’extinction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Moyens d'extinction appropriés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Eau pulvérisée. Poudre sèche. Mousse. Dioxyde de carbone.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5.2 Dangers particuliers résultant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Produits de décomposition dangereux en cas d'incendie                                                          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Dégagement possible de fumées toxiques.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5.3 Conseils aux pompiers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Protection en cas d'incendie 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Appareil de protection respiratoire autonome isolant. Protection complète du corps.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6 : Mesures à prendre en cas de dispersion accidentelle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6.1 Précautions individuelles, équipement de protection et procédures d’urgence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6.1.1 Pour les non-secouristes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Procédures d’urgence                                         : 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Ventiler la zone. Eviter le contact avec la peau et les yeux. Éviter de respirer les poussières/fumées/gaz/brouillards/vapeurs/aérosols.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6.1.2 Pour les 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Equipement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6"/>
                <w:shd w:fill="auto" w:val="clear"/>
              </w:rPr>
              <w:t xml:space="preserve"> protection        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Pour plus d'informations, se reporter à la rubrique 8 : "Contrôle de l'exposition-protection individuelle".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6.2 Précautions pour la protection de l’environnement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Eviter le rejet dans l’environnement.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6.3 Méthodes et matériel de confinement et de nettoyage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Eliminer les matières ou résidus solides dans un centre autorisé.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6.4 Références à d’autres rubriques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Pour plus d'informations, se reporter à la rubrique 13.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7 : Manipulation et stockage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7.1 Précautions à prendre pour une manipulation sans danger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Ne pas manger, boire ou fumer en manipulant ce produit. Se laver les mains après toute manipulation.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7.2 Conditions d'un stockage sûr, y compris les éventuelles incompatibilités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39"/>
        <w:gridCol w:w="5523"/>
        <w:gridCol w:w="572"/>
      </w:tblGrid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Conditions de stockage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à l’abri de la lumière.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stockage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les températures extrêmes.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Prescriptions particulières concernant         l'emballage                  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dans un récipient fermé.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Matériaux d'emballage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conserver dans un métal sensible à la corrosion.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8 : Contrôles de l’exposition/protection individuelle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8.1 Paramètres de contrôle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8.2 Contrôles de l’exposition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9 : Propriétés physiques et chimiques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9.1 Informations sur les propriétés physiques et chimiques essentielles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État physique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Solide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Couleur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Caractéristique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Seuil Olfactif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fusion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d’ébullition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congélation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Inflammabilité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Limites d’explosivité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inférieure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supérieure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éclair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&gt;100°C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d'auto-inflammation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décomposition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pH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Viscosité, cinématique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Solubilité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Coefficient de partage n-octanol/eau (Log Kow)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 à 50°C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Masse volumique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 de vapeur à 20°C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Caractéristiques d’une particule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9.2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10 : Stabilité et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10.1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n'est pas réactif dans les conditions normales d'utilisation, de stockage et de transport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10.2 Stabilité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Stable dans les conditions normales.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10.3 Possibilité de réactions dangereuses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de réaction dangereuse connue dans les conditions normales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10.4 Conditions à éviter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dans des conditions de stockage et de manipulation recommandées (voir rubrique 7).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10.5 Matières incompatibles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10.6 Produits de décomposition dangereux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 produit de décomposition dangereux ne devrait être généré dans les conditions normales de stockage et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11 : Informations toxicologiques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11.1 Informations sur les classes de danger telles que définies dans le règlement (CE) n° 1272/2008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(orale)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(cutanée)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(Inhalation)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Corrosion cutanée/irritation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Lésions oculaires graves/irritation oculaire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Sensibilisation respiratoire ou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Peut provoquer une allergie cutanée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Mutagénicité sur les cellules germinales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Cancérogénicité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pour la reproduction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unique)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répétée)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 par aspiration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11.2 Informations sur les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d'informations complémentaires disponibles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12 : Informations écologiques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12.1 Toxicité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47"/>
        <w:gridCol w:w="6515"/>
      </w:tblGrid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Ecologie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énéral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court terme (aiguë)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long terme (chronique)</w:t>
            </w: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12.2 Persistance et dégradabilité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12.3 Potentiel de bioaccumulation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12.4 Mobilité dans le sol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12.5 Résultats des évaluations PBT et vPvB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12.6 Propriétés perturbant le système endocrinien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12.7 Autres effets néfastes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13 : Considérations relatives à l’élimination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13.1 Méthodes de traitement des déchets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972"/>
        <w:gridCol w:w="6090"/>
      </w:tblGrid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Méthodes de traitement des déchets</w:t>
            </w:r>
          </w:p>
        </w:tc>
        <w:tc>
          <w:tcPr>
            <w:tcW w:w="60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Eliminer le contenu/récipient conformément aux consignes de tri du collecteur agréé.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14 : Informations relatives au transport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 conformité avec: ADR / IMDG / IATA / ADN / RID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WGK : 1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980"/>
        <w:gridCol w:w="1984"/>
        <w:gridCol w:w="1843"/>
        <w:gridCol w:w="1843"/>
        <w:gridCol w:w="1984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IMDG</w:t>
            </w: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IATA</w:t>
            </w: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ADN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14.1.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ONU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d’identification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14.2.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Désignation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officielle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transport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l'ONU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Description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document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6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14.3.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Classe(s)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14.4.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Groupe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d’emballage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14.5.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Dangers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l'environnement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15 : Informations relatives à la réglementation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15.1 Réglementations/législation particulières à la substance ou au mélange en matière de sécurité, de santé et d’environnement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>
      <w:pPr>
        <w:spacing w:before="96" w:after="0" w:line="288"/>
        <w:ind w:right="232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15.2 Évaluation de la sécurité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évaluation de la sécurité chimique n'a été effectuée pour cette substance/mélange par le fournisseur ?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16 :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88"/>
        <w:gridCol w:w="1701"/>
        <w:gridCol w:w="6945"/>
      </w:tblGrid>
      <w:tr>
        <w:trPr>
          <w:trHeight w:val="1" w:hRule="atLeast"/>
          <w:jc w:val="left"/>
        </w:trPr>
        <w:tc>
          <w:tcPr>
            <w:tcW w:w="9634" w:type="dxa"/>
            <w:gridSpan w:val="3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Texte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intégral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phrases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H et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EUH: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en cas d’ingestion.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irritation cutanée.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sévère irritation des yeux.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H361fd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Repr.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Susceptible de nuire à la fertilité ou au f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œtus.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H410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aquatiques, entraîne des effets néfastes à long terme.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pour les organismes aquatiques, entraîne des effets néfastes à long terme.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95" w:after="0" w:line="444"/>
        <w:ind w:right="6101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Fiche de données de sécurité (FDS), 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informations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sont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basées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nos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connaissances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actuelles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décrivent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pour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seuls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besoins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santé,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sécurité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 l’environnement. Elles ne devraient donc pas être interprétées comme garantissant une quelconque propriété spécifique du produit.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