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 : Identification de la substance/du mélange et de la société/de l’entreprise</w:t>
            </w:r>
          </w:p>
        </w:tc>
      </w:tr>
    </w:tbl>
    <w:p>
      <w:pPr>
        <w:spacing w:before="0" w:after="0" w:line="240"/>
        <w:ind w:right="0" w:left="-567" w:firstLine="0"/>
        <w:jc w:val="left"/>
        <w:rPr>
          <w:rFonts w:ascii="Arial" w:hAnsi="Arial" w:cs="Arial" w:eastAsia="Arial"/>
          <w:b/>
          <w:color w:val="984806"/>
          <w:spacing w:val="0"/>
          <w:position w:val="0"/>
          <w:sz w:val="22"/>
          <w:shd w:fill="auto" w:val="clear"/>
        </w:rPr>
      </w:pPr>
    </w:p>
    <w:tbl>
      <w:tblPr/>
      <w:tblGrid>
        <w:gridCol w:w="9634"/>
      </w:tblGrid>
      <w:tr>
        <w:trPr>
          <w:trHeight w:val="173"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 Identificateur de produit</w:t>
            </w:r>
          </w:p>
        </w:tc>
      </w:tr>
    </w:tbl>
    <w:p>
      <w:pPr>
        <w:tabs>
          <w:tab w:val="left" w:pos="3924" w:leader="none"/>
        </w:tabs>
        <w:spacing w:before="36"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6"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Nom</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du</w:t>
      </w:r>
      <w:r>
        <w:rPr>
          <w:rFonts w:ascii="Arial" w:hAnsi="Arial" w:cs="Arial" w:eastAsia="Arial"/>
          <w:color w:val="auto"/>
          <w:spacing w:val="-1"/>
          <w:position w:val="0"/>
          <w:sz w:val="16"/>
          <w:shd w:fill="auto" w:val="clear"/>
        </w:rPr>
        <w:t xml:space="preserve"> </w:t>
      </w:r>
      <w:r>
        <w:rPr>
          <w:rFonts w:ascii="Arial" w:hAnsi="Arial" w:cs="Arial" w:eastAsia="Arial"/>
          <w:color w:val="auto"/>
          <w:spacing w:val="-2"/>
          <w:position w:val="0"/>
          <w:sz w:val="16"/>
          <w:shd w:fill="auto" w:val="clear"/>
        </w:rPr>
        <w:t xml:space="preserve">produit</w:t>
      </w:r>
      <w:r>
        <w:rPr>
          <w:rFonts w:ascii="Arial" w:hAnsi="Arial" w:cs="Arial" w:eastAsia="Arial"/>
          <w:color w:val="auto"/>
          <w:spacing w:val="0"/>
          <w:position w:val="0"/>
          <w:sz w:val="16"/>
          <w:shd w:fill="auto" w:val="clear"/>
        </w:rPr>
        <w:tab/>
        <w:t xml:space="preserve">:</w:t>
      </w:r>
      <w:r>
        <w:rPr>
          <w:rFonts w:ascii="Arial" w:hAnsi="Arial" w:cs="Arial" w:eastAsia="Arial"/>
          <w:color w:val="auto"/>
          <w:spacing w:val="66"/>
          <w:position w:val="0"/>
          <w:sz w:val="16"/>
          <w:shd w:fill="auto" w:val="clear"/>
        </w:rPr>
        <w:t xml:space="preserve"> </w:t>
      </w:r>
      <w:r>
        <w:rPr>
          <w:rFonts w:ascii="Arial" w:hAnsi="Arial" w:cs="Arial" w:eastAsia="Arial"/>
          <w:b/>
          <w:color w:val="auto"/>
          <w:spacing w:val="0"/>
          <w:position w:val="0"/>
          <w:sz w:val="16"/>
          <w:shd w:fill="auto" w:val="clear"/>
        </w:rPr>
        <w:t xml:space="preserve">SODA COLA 10</w:t>
      </w:r>
      <w:r>
        <w:rPr>
          <w:rFonts w:ascii="Arial" w:hAnsi="Arial" w:cs="Arial" w:eastAsia="Arial"/>
          <w:b/>
          <w:color w:val="auto"/>
          <w:spacing w:val="-2"/>
          <w:position w:val="0"/>
          <w:sz w:val="16"/>
          <w:shd w:fill="auto" w:val="clear"/>
        </w:rPr>
        <w:t xml:space="preserve">%</w:t>
      </w:r>
    </w:p>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 Utilisations identifiées pertinentes de la substance ou du mélange et utilisations déconseillées</w:t>
            </w:r>
          </w:p>
        </w:tc>
      </w:tr>
    </w:tbl>
    <w:p>
      <w:pPr>
        <w:spacing w:before="0" w:after="0" w:line="240"/>
        <w:ind w:right="0" w:left="-567" w:firstLine="0"/>
        <w:jc w:val="left"/>
        <w:rPr>
          <w:rFonts w:ascii="Arial" w:hAnsi="Arial" w:cs="Arial" w:eastAsia="Arial"/>
          <w:color w:val="auto"/>
          <w:spacing w:val="0"/>
          <w:position w:val="0"/>
          <w:sz w:val="22"/>
          <w:shd w:fill="auto" w:val="clear"/>
        </w:rPr>
      </w:pPr>
    </w:p>
    <w:p>
      <w:pPr>
        <w:numPr>
          <w:ilvl w:val="0"/>
          <w:numId w:val="15"/>
        </w:numPr>
        <w:tabs>
          <w:tab w:val="left" w:pos="565" w:leader="none"/>
        </w:tabs>
        <w:spacing w:before="120" w:after="0" w:line="240"/>
        <w:ind w:right="0" w:left="564" w:hanging="445"/>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Utilisations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0"/>
          <w:position w:val="0"/>
          <w:sz w:val="16"/>
          <w:shd w:fill="auto" w:val="clear"/>
        </w:rPr>
        <w:t xml:space="preserve">identifiées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2"/>
          <w:position w:val="0"/>
          <w:sz w:val="16"/>
          <w:shd w:fill="auto" w:val="clear"/>
        </w:rPr>
        <w:t xml:space="preserve">pertinentes</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b/>
          <w:color w:val="auto"/>
          <w:spacing w:val="0"/>
          <w:position w:val="0"/>
          <w:sz w:val="16"/>
          <w:shd w:fill="auto" w:val="clear"/>
        </w:rPr>
        <w:t xml:space="preserve">Catégorie d'usage principal</w:t>
        <w:tab/>
        <w:t xml:space="preserve">: </w:t>
      </w:r>
      <w:r>
        <w:rPr>
          <w:rFonts w:ascii="Arial" w:hAnsi="Arial" w:cs="Arial" w:eastAsia="Arial"/>
          <w:color w:val="auto"/>
          <w:spacing w:val="0"/>
          <w:position w:val="0"/>
          <w:sz w:val="16"/>
          <w:shd w:fill="auto" w:val="clear"/>
        </w:rPr>
        <w:t xml:space="preserve">Bougie/Fondant parfumé à destination du grand public</w:t>
      </w:r>
    </w:p>
    <w:p>
      <w:pPr>
        <w:tabs>
          <w:tab w:val="left" w:pos="565" w:leader="none"/>
        </w:tabs>
        <w:spacing w:before="120" w:after="0" w:line="240"/>
        <w:ind w:right="0" w:left="119" w:firstLine="0"/>
        <w:jc w:val="left"/>
        <w:rPr>
          <w:rFonts w:ascii="Arial" w:hAnsi="Arial" w:cs="Arial" w:eastAsia="Arial"/>
          <w:b/>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1.3. Renseignements concernant le fournisseur de la fiche de données de sécurité</w:t>
            </w:r>
          </w:p>
        </w:tc>
      </w:tr>
    </w:tbl>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3256"/>
        <w:gridCol w:w="5806"/>
      </w:tblGrid>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NOM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ADRESSE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TELEPHONE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MAIL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br/>
      </w: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1.4. Numéro d’appel d’urgence</w:t>
            </w:r>
          </w:p>
        </w:tc>
      </w:tr>
    </w:tbl>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Belgique : +32 070 245 245</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France : +33 (0)1 45 42 59 59</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Luxembourg : +32 (0) 70 245 245</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2 : Identification des dangers</w:t>
            </w:r>
          </w:p>
        </w:tc>
      </w:tr>
      <w:tr>
        <w:trPr>
          <w:trHeight w:val="409" w:hRule="auto"/>
          <w:jc w:val="left"/>
        </w:trPr>
        <w:tc>
          <w:tcPr>
            <w:tcW w:w="9634" w:type="dxa"/>
            <w:tcBorders>
              <w:top w:val="single" w:color="000000" w:sz="0"/>
              <w:left w:val="single" w:color="000000" w:sz="0"/>
              <w:bottom w:val="single" w:color="000000" w:sz="0"/>
              <w:right w:val="single" w:color="000000" w:sz="0"/>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2.1 Classification de la substance ou du mélange</w:t>
            </w:r>
          </w:p>
        </w:tc>
      </w:tr>
    </w:tbl>
    <w:p>
      <w:pPr>
        <w:spacing w:before="0" w:after="0" w:line="240"/>
        <w:ind w:right="0" w:left="-567" w:firstLine="0"/>
        <w:jc w:val="left"/>
        <w:rPr>
          <w:rFonts w:ascii="Arial" w:hAnsi="Arial" w:cs="Arial" w:eastAsia="Arial"/>
          <w:color w:val="auto"/>
          <w:spacing w:val="0"/>
          <w:position w:val="0"/>
          <w:sz w:val="22"/>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Classification selon le règlement (CE) N° 1272/2008 [CLP]</w:t>
      </w:r>
    </w:p>
    <w:tbl>
      <w:tblPr/>
      <w:tblGrid>
        <w:gridCol w:w="6658"/>
        <w:gridCol w:w="2404"/>
      </w:tblGrid>
      <w:tr>
        <w:trPr>
          <w:trHeight w:val="1" w:hRule="atLeast"/>
          <w:jc w:val="left"/>
        </w:trPr>
        <w:tc>
          <w:tcPr>
            <w:tcW w:w="66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Dangereux pour le milieu aquatique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Danger chronique, cat</w:t>
            </w:r>
            <w:r>
              <w:rPr>
                <w:rFonts w:ascii="Arial" w:hAnsi="Arial" w:cs="Arial" w:eastAsia="Arial"/>
                <w:color w:val="auto"/>
                <w:spacing w:val="0"/>
                <w:position w:val="0"/>
                <w:sz w:val="16"/>
                <w:shd w:fill="auto" w:val="clear"/>
              </w:rPr>
              <w:t xml:space="preserve">égorie 3</w:t>
            </w:r>
          </w:p>
        </w:tc>
        <w:tc>
          <w:tcPr>
            <w:tcW w:w="240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H412</w:t>
            </w:r>
          </w:p>
        </w:tc>
      </w:tr>
      <w:tr>
        <w:trPr>
          <w:trHeight w:val="1" w:hRule="atLeast"/>
          <w:jc w:val="left"/>
        </w:trPr>
        <w:tc>
          <w:tcPr>
            <w:tcW w:w="66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22"/>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Effets néfastes physicochimiques, pour la santé humaine et pour l’environnement</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2.2 Eléments d’étiquetage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Etiquetage selon le règlement (CE) N° 1272/2008 [CLP]</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Pictogrammes de danger (CLP) --</w:t>
      </w: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Mention</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d'avertissement</w:t>
      </w:r>
      <w:r>
        <w:rPr>
          <w:rFonts w:ascii="Arial" w:hAnsi="Arial" w:cs="Arial" w:eastAsia="Arial"/>
          <w:color w:val="auto"/>
          <w:spacing w:val="-5"/>
          <w:position w:val="0"/>
          <w:sz w:val="16"/>
          <w:shd w:fill="auto" w:val="clear"/>
        </w:rPr>
        <w:t xml:space="preserve"> </w:t>
      </w:r>
      <w:r>
        <w:rPr>
          <w:rFonts w:ascii="Arial" w:hAnsi="Arial" w:cs="Arial" w:eastAsia="Arial"/>
          <w:color w:val="auto"/>
          <w:spacing w:val="-2"/>
          <w:position w:val="0"/>
          <w:sz w:val="16"/>
          <w:shd w:fill="auto" w:val="clear"/>
        </w:rPr>
        <w:t xml:space="preserve">(CLP)</w:t>
      </w:r>
      <w:r>
        <w:rPr>
          <w:rFonts w:ascii="Arial" w:hAnsi="Arial" w:cs="Arial" w:eastAsia="Arial"/>
          <w:color w:val="auto"/>
          <w:spacing w:val="0"/>
          <w:position w:val="0"/>
          <w:sz w:val="16"/>
          <w:shd w:fill="auto" w:val="clear"/>
        </w:rPr>
        <w:tab/>
        <w:t xml:space="preserve">:</w:t>
      </w:r>
      <w:r>
        <w:rPr>
          <w:rFonts w:ascii="Arial" w:hAnsi="Arial" w:cs="Arial" w:eastAsia="Arial"/>
          <w:color w:val="auto"/>
          <w:spacing w:val="72"/>
          <w:position w:val="0"/>
          <w:sz w:val="16"/>
          <w:shd w:fill="auto" w:val="clear"/>
        </w:rPr>
        <w:t xml:space="preserve"> </w:t>
      </w:r>
      <w:r>
        <w:rPr>
          <w:rFonts w:ascii="Arial" w:hAnsi="Arial" w:cs="Arial" w:eastAsia="Arial"/>
          <w:color w:val="auto"/>
          <w:spacing w:val="-2"/>
          <w:position w:val="0"/>
          <w:sz w:val="16"/>
          <w:shd w:fill="auto" w:val="clear"/>
        </w:rPr>
        <w:t xml:space="preserve">NEANT</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Mentions de dangers (CLP)</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696"/>
        <w:gridCol w:w="7366"/>
      </w:tblGrid>
      <w:tr>
        <w:trPr>
          <w:trHeight w:val="1" w:hRule="atLeast"/>
          <w:jc w:val="left"/>
        </w:trPr>
        <w:tc>
          <w:tcPr>
            <w:tcW w:w="169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3</w:t>
            </w:r>
          </w:p>
        </w:tc>
        <w:tc>
          <w:tcPr>
            <w:tcW w:w="736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tc>
      </w:tr>
      <w:tr>
        <w:trPr>
          <w:trHeight w:val="1" w:hRule="atLeast"/>
          <w:jc w:val="left"/>
        </w:trPr>
        <w:tc>
          <w:tcPr>
            <w:tcW w:w="169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6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Conseils de prudence (CLP)</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271"/>
        <w:gridCol w:w="7791"/>
      </w:tblGrid>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P101</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En cas de consultation d'un médecin, garder à disposition le récipient ou l'étiquette.</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P102</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Tenir hors de portée des enfants.</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Lire l'étiquette avant utilisation.</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P273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Eviter le rejet dans l’environnement.</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P501</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Éliminer le récipient dans une installation de recyclage ou d'élimination des déchets approuvée.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EUH208 </w:t>
      </w:r>
      <w:r>
        <w:rPr>
          <w:rFonts w:ascii="Arial" w:hAnsi="Arial" w:cs="Arial" w:eastAsia="Arial"/>
          <w:b/>
          <w:color w:val="auto"/>
          <w:spacing w:val="0"/>
          <w:position w:val="0"/>
          <w:sz w:val="16"/>
          <w:shd w:fill="auto" w:val="clear"/>
        </w:rPr>
        <w:t xml:space="preserve">Contient</w:t>
      </w:r>
      <w:r>
        <w:rPr>
          <w:rFonts w:ascii="Arial" w:hAnsi="Arial" w:cs="Arial" w:eastAsia="Arial"/>
          <w:color w:val="auto"/>
          <w:spacing w:val="0"/>
          <w:position w:val="0"/>
          <w:sz w:val="16"/>
          <w:shd w:fill="auto" w:val="clear"/>
        </w:rPr>
        <w:t xml:space="preserve"> : Lime oil distilled,Cinnamic aldehyde, Lemon oil, Eugenol. Peut produire une réaction allergique.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2.3 Autres dangers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pas de substances PBT/vPvB </w:t>
      </w:r>
      <w:r>
        <w:rPr>
          <w:rFonts w:ascii="Cambria Math" w:hAnsi="Cambria Math" w:cs="Cambria Math" w:eastAsia="Cambria Math"/>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0,1 % évaluées conformément à l'annexe XIII du règlement REACH</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position w:val="0"/>
                <w:shd w:fill="auto" w:val="clear"/>
              </w:rPr>
            </w:pPr>
            <w:r>
              <w:rPr>
                <w:rFonts w:ascii="Arial" w:hAnsi="Arial" w:cs="Arial" w:eastAsia="Arial"/>
                <w:b/>
                <w:color w:val="FFFFFF"/>
                <w:spacing w:val="0"/>
                <w:position w:val="0"/>
                <w:sz w:val="20"/>
                <w:shd w:fill="auto" w:val="clear"/>
              </w:rPr>
              <w:t xml:space="preserve">RUBRIQUE 3 : Composition/informations</w:t>
            </w:r>
            <w:r>
              <w:rPr>
                <w:rFonts w:ascii="Arial" w:hAnsi="Arial" w:cs="Arial" w:eastAsia="Arial"/>
                <w:b/>
                <w:color w:val="FFFFFF"/>
                <w:spacing w:val="-3"/>
                <w:position w:val="0"/>
                <w:sz w:val="20"/>
                <w:shd w:fill="auto" w:val="clear"/>
              </w:rPr>
              <w:t xml:space="preserve"> </w:t>
            </w:r>
            <w:r>
              <w:rPr>
                <w:rFonts w:ascii="Arial" w:hAnsi="Arial" w:cs="Arial" w:eastAsia="Arial"/>
                <w:b/>
                <w:color w:val="FFFFFF"/>
                <w:spacing w:val="0"/>
                <w:position w:val="0"/>
                <w:sz w:val="20"/>
                <w:shd w:fill="auto" w:val="clear"/>
              </w:rPr>
              <w:t xml:space="preserve">sur</w:t>
            </w:r>
            <w:r>
              <w:rPr>
                <w:rFonts w:ascii="Arial" w:hAnsi="Arial" w:cs="Arial" w:eastAsia="Arial"/>
                <w:b/>
                <w:color w:val="FFFFFF"/>
                <w:spacing w:val="-4"/>
                <w:position w:val="0"/>
                <w:sz w:val="20"/>
                <w:shd w:fill="auto" w:val="clear"/>
              </w:rPr>
              <w:t xml:space="preserve"> </w:t>
            </w:r>
            <w:r>
              <w:rPr>
                <w:rFonts w:ascii="Arial" w:hAnsi="Arial" w:cs="Arial" w:eastAsia="Arial"/>
                <w:b/>
                <w:color w:val="FFFFFF"/>
                <w:spacing w:val="0"/>
                <w:position w:val="0"/>
                <w:sz w:val="20"/>
                <w:shd w:fill="auto" w:val="clear"/>
              </w:rPr>
              <w:t xml:space="preserve">les</w:t>
            </w:r>
            <w:r>
              <w:rPr>
                <w:rFonts w:ascii="Arial" w:hAnsi="Arial" w:cs="Arial" w:eastAsia="Arial"/>
                <w:b/>
                <w:color w:val="FFFFFF"/>
                <w:spacing w:val="-4"/>
                <w:position w:val="0"/>
                <w:sz w:val="20"/>
                <w:shd w:fill="auto" w:val="clear"/>
              </w:rPr>
              <w:t xml:space="preserve"> </w:t>
            </w:r>
            <w:r>
              <w:rPr>
                <w:rFonts w:ascii="Arial" w:hAnsi="Arial" w:cs="Arial" w:eastAsia="Arial"/>
                <w:b/>
                <w:color w:val="FFFFFF"/>
                <w:spacing w:val="-2"/>
                <w:position w:val="0"/>
                <w:sz w:val="20"/>
                <w:shd w:fill="auto" w:val="clear"/>
              </w:rPr>
              <w:t xml:space="preserve">composants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3.1 Substances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3.2 Mélanges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547"/>
        <w:gridCol w:w="1417"/>
        <w:gridCol w:w="1472"/>
        <w:gridCol w:w="1363"/>
        <w:gridCol w:w="2835"/>
      </w:tblGrid>
      <w:tr>
        <w:trPr>
          <w:trHeight w:val="394" w:hRule="auto"/>
          <w:jc w:val="left"/>
        </w:trPr>
        <w:tc>
          <w:tcPr>
            <w:tcW w:w="2547"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NOM</w:t>
            </w:r>
          </w:p>
        </w:tc>
        <w:tc>
          <w:tcPr>
            <w:tcW w:w="1417"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 CAS</w:t>
            </w:r>
          </w:p>
        </w:tc>
        <w:tc>
          <w:tcPr>
            <w:tcW w:w="1472"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 EC</w:t>
            </w:r>
          </w:p>
        </w:tc>
        <w:tc>
          <w:tcPr>
            <w:tcW w:w="1363"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w:t>
            </w:r>
          </w:p>
        </w:tc>
        <w:tc>
          <w:tcPr>
            <w:tcW w:w="2835"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6"/>
                <w:shd w:fill="auto" w:val="clear"/>
              </w:rPr>
              <w:t xml:space="preserve">Classification selon le règlement (CE) N° 1272/2008 [CLP]</w:t>
            </w:r>
          </w:p>
        </w:tc>
      </w:tr>
      <w:tr>
        <w:trPr>
          <w:trHeight w:val="1" w:hRule="atLeast"/>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Lime oil distilled</w:t>
            </w: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8008-26-2</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290-010-3</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0.35-0.7</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Flam. Liq. 3, H226 </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Skin Irrit. 2, H315 </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Skin Sens. 1, H317 </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Repr. 1A, H360FD</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Asp. Tox. 1, H304</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Aquatic Chronic 1, H410</w:t>
            </w:r>
          </w:p>
          <w:p>
            <w:pPr>
              <w:spacing w:before="0" w:after="0" w:line="240"/>
              <w:ind w:right="0" w:left="0" w:firstLine="0"/>
              <w:jc w:val="left"/>
              <w:rPr>
                <w:color w:val="auto"/>
                <w:spacing w:val="0"/>
                <w:position w:val="0"/>
                <w:shd w:fill="auto" w:val="clear"/>
              </w:rPr>
            </w:pPr>
          </w:p>
        </w:tc>
      </w:tr>
      <w:tr>
        <w:trPr>
          <w:trHeight w:val="1" w:hRule="atLeast"/>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Cinnamic aldehyde</w:t>
            </w: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104-55-2</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203-213-9</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0.23-0.455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Acute Tox. 4 (par voie cutanée), H312 </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Skin Irrit. 2, H315</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Eye Irrit. 2, H319 </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Skin Sens. 1, H317</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Aquatic Chronic 3, H412</w:t>
            </w:r>
          </w:p>
          <w:p>
            <w:pPr>
              <w:spacing w:before="0" w:after="0" w:line="240"/>
              <w:ind w:right="0" w:left="0" w:firstLine="0"/>
              <w:jc w:val="left"/>
              <w:rPr>
                <w:color w:val="auto"/>
                <w:spacing w:val="0"/>
                <w:position w:val="0"/>
                <w:shd w:fill="auto" w:val="clear"/>
              </w:rPr>
            </w:pPr>
          </w:p>
        </w:tc>
      </w:tr>
      <w:tr>
        <w:trPr>
          <w:trHeight w:val="1" w:hRule="atLeast"/>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Lemon oil</w:t>
            </w: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8008-56-8</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284-515-8</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0.07-0.14</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Flam. Liq. 3, H226 </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Skin Irrit. 2, H315 </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Skin Sens. 1, H317 </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Repr. 2, H361</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Aquatic Chronic 2, H411</w:t>
            </w:r>
          </w:p>
          <w:p>
            <w:pPr>
              <w:spacing w:before="0" w:after="0" w:line="240"/>
              <w:ind w:right="0" w:left="0" w:firstLine="0"/>
              <w:jc w:val="left"/>
              <w:rPr>
                <w:color w:val="auto"/>
                <w:spacing w:val="0"/>
                <w:position w:val="0"/>
                <w:shd w:fill="auto" w:val="clear"/>
              </w:rPr>
            </w:pPr>
          </w:p>
        </w:tc>
      </w:tr>
      <w:tr>
        <w:trPr>
          <w:trHeight w:val="1" w:hRule="atLeast"/>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Eugenol</w:t>
            </w: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97-53-0</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202-589-1</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0.07-0.14</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Acute Tox. 4 (par voie orale), H302 Eye Irrit. 2, H319</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Skin Sens. 1B, H317</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Texte intégral des mentions H et EUH : voir rubrique 16</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4 : Premiers secours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4.1 Description des mesures de premiers secours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823"/>
        <w:gridCol w:w="5239"/>
      </w:tblGrid>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inhalation</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Transporter la personne à l’extérieur et la maintenir dans une position où elle peut confortablement respirer.</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avec la peau</w:t>
              <w:tab/>
              <w:t xml:space="preserve">:</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Laver la peau avec beaucoup d'eau. En cas d’irritation</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ou d'éruption cutanée: consulter un médecin.</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oculaire</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Rincer les yeux à l'eau par mesure de précaution.</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ingestion</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Appeler un centre antipoison ou un médecin en cas de malaise.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4.2 Principaux symptômes et effets, aigus et différés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823"/>
        <w:gridCol w:w="5239"/>
      </w:tblGrid>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4.3 Indication des éventuels soins médicaux immédiats et traitements particuliers nécessaires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Traitement symptomatique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5 : Mesures de lutte contre l’incendie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5.1 Moyens d’extinction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Moyens d'extinction appropriés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Eau pulvérisée. Poudre sèche. Mousse. Dioxyde de carbone.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5.2 Dangers particuliers résultant de la substance ou du mélange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Produits de décomposition dangereux en cas d'incendie                                                           : </w:t>
            </w:r>
          </w:p>
          <w:p>
            <w:pPr>
              <w:spacing w:before="0" w:after="0" w:line="240"/>
              <w:ind w:right="0" w:left="0" w:firstLine="0"/>
              <w:jc w:val="left"/>
              <w:rPr>
                <w:color w:val="auto"/>
                <w:spacing w:val="0"/>
                <w:position w:val="0"/>
                <w:shd w:fill="auto" w:val="clear"/>
              </w:rPr>
            </w:pP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Dégagement possible de fumées toxiques.</w:t>
            </w:r>
          </w:p>
          <w:p>
            <w:pPr>
              <w:spacing w:before="0" w:after="0" w:line="240"/>
              <w:ind w:right="0" w:left="0" w:firstLine="0"/>
              <w:jc w:val="left"/>
              <w:rPr>
                <w:color w:val="auto"/>
                <w:spacing w:val="0"/>
                <w:position w:val="0"/>
                <w:shd w:fill="auto" w:val="clear"/>
              </w:rPr>
            </w:pPr>
          </w:p>
        </w:tc>
      </w:tr>
      <w:tr>
        <w:trPr>
          <w:trHeight w:val="256" w:hRule="auto"/>
          <w:jc w:val="left"/>
        </w:trPr>
        <w:tc>
          <w:tcPr>
            <w:tcW w:w="9634" w:type="dxa"/>
            <w:gridSpan w:val="3"/>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5.3 Conseils aux pompiers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Protection en cas d'incendie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intervenir sans un équipement de protection adapté. Appareil de protection respiratoire autonome isolant. Protection complète du corps.</w:t>
            </w:r>
          </w:p>
          <w:p>
            <w:pPr>
              <w:spacing w:before="0" w:after="0" w:line="240"/>
              <w:ind w:right="0" w:left="0" w:firstLine="0"/>
              <w:jc w:val="left"/>
              <w:rPr>
                <w:color w:val="auto"/>
                <w:spacing w:val="0"/>
                <w:position w:val="0"/>
                <w:shd w:fill="auto" w:val="clear"/>
              </w:rPr>
            </w:pPr>
          </w:p>
        </w:tc>
      </w:tr>
      <w:tr>
        <w:trPr>
          <w:trHeight w:val="409" w:hRule="auto"/>
          <w:jc w:val="left"/>
        </w:trPr>
        <w:tc>
          <w:tcPr>
            <w:tcW w:w="9634" w:type="dxa"/>
            <w:gridSpan w:val="3"/>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6 : Mesures à prendre en cas de dispersion accidentelle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6.1 Précautions individuelles, équipement de protection et procédures d’urgence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6.1.1 Pour les non-secouristes</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3681"/>
        <w:gridCol w:w="5381"/>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Procédures d’urgence                                         :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Ventiler la zone. Eviter le contact avec la peau et les yeux. Éviter de respirer les poussières/fumées/gaz/brouillards/vapeurs/aérosols.</w:t>
            </w:r>
          </w:p>
        </w:tc>
      </w:tr>
    </w:tbl>
    <w:p>
      <w:pPr>
        <w:spacing w:before="0" w:after="0" w:line="240"/>
        <w:ind w:right="0" w:left="-567" w:firstLine="0"/>
        <w:jc w:val="left"/>
        <w:rPr>
          <w:rFonts w:ascii="Arial" w:hAnsi="Arial" w:cs="Arial" w:eastAsia="Arial"/>
          <w:b/>
          <w:color w:val="0070C0"/>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6.1.2 Pour les secouristes</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position w:val="0"/>
                <w:shd w:fill="auto" w:val="clear"/>
              </w:rPr>
            </w:pPr>
            <w:r>
              <w:rPr>
                <w:rFonts w:ascii="Arial" w:hAnsi="Arial" w:cs="Arial" w:eastAsia="Arial"/>
                <w:color w:val="auto"/>
                <w:spacing w:val="0"/>
                <w:position w:val="0"/>
                <w:sz w:val="16"/>
                <w:shd w:fill="auto" w:val="clear"/>
              </w:rPr>
              <w:t xml:space="preserve">Equipement</w:t>
            </w:r>
            <w:r>
              <w:rPr>
                <w:rFonts w:ascii="Arial" w:hAnsi="Arial" w:cs="Arial" w:eastAsia="Arial"/>
                <w:color w:val="auto"/>
                <w:spacing w:val="-4"/>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protection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intervenir sans un équipement de protection adapté. Pour plus d'informations, se reporter à la rubrique 8 : "Contrôle de l'exposition-protection individuelle".</w:t>
            </w:r>
          </w:p>
          <w:p>
            <w:pPr>
              <w:spacing w:before="0" w:after="0" w:line="240"/>
              <w:ind w:right="0" w:left="0" w:firstLine="0"/>
              <w:jc w:val="left"/>
              <w:rPr>
                <w:color w:val="auto"/>
                <w:spacing w:val="0"/>
                <w:position w:val="0"/>
                <w:shd w:fill="auto" w:val="clear"/>
              </w:rPr>
            </w:pPr>
          </w:p>
        </w:tc>
      </w:tr>
      <w:tr>
        <w:trPr>
          <w:trHeight w:val="256" w:hRule="auto"/>
          <w:jc w:val="left"/>
        </w:trPr>
        <w:tc>
          <w:tcPr>
            <w:tcW w:w="9634" w:type="dxa"/>
            <w:gridSpan w:val="3"/>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6.2 Précautions pour la protection de l’environnement</w:t>
            </w:r>
          </w:p>
        </w:tc>
      </w:tr>
    </w:tbl>
    <w:p>
      <w:pPr>
        <w:spacing w:before="0" w:after="0" w:line="240"/>
        <w:ind w:right="0" w:left="-567" w:firstLine="0"/>
        <w:jc w:val="left"/>
        <w:rPr>
          <w:rFonts w:ascii="Arial" w:hAnsi="Arial" w:cs="Arial" w:eastAsia="Arial"/>
          <w:b/>
          <w:color w:val="0070C0"/>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Eviter le rejet dans l’environnement.</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6.3 Méthodes et matériel de confinement et de nettoyage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Eliminer les matières ou résidus solides dans un centre autorisé.</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6.4 Références à d’autres rubriques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Pour plus d'informations, se reporter à la rubrique 13.</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7 : Manipulation et stockage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7.1 Précautions à prendre pour une manipulation sans danger</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manger, boire ou fumer en manipulant ce produit. Se laver les mains après toute manipulation.</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7.2 Conditions d'un stockage sûr, y compris les éventuelles incompatibilités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539"/>
        <w:gridCol w:w="5523"/>
        <w:gridCol w:w="572"/>
      </w:tblGrid>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Conditions de stockage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Stocker à l’abri de la lumière.</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stockage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Eviter les températures extrêmes.</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Prescriptions particulières concernant         l'emballage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Stocker dans un récipient fermé.</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Matériaux d'emballage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conserver dans un métal sensible à la corrosion.</w:t>
            </w:r>
          </w:p>
          <w:p>
            <w:pPr>
              <w:spacing w:before="0" w:after="0" w:line="240"/>
              <w:ind w:right="0" w:left="0" w:firstLine="0"/>
              <w:jc w:val="left"/>
              <w:rPr>
                <w:color w:val="auto"/>
                <w:spacing w:val="0"/>
                <w:position w:val="0"/>
                <w:shd w:fill="auto" w:val="clear"/>
              </w:rPr>
            </w:pP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09" w:hRule="auto"/>
          <w:jc w:val="left"/>
        </w:trPr>
        <w:tc>
          <w:tcPr>
            <w:tcW w:w="9634" w:type="dxa"/>
            <w:gridSpan w:val="3"/>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8 : Contrôles de l’exposition/protection individuelle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8.1 Paramètres de contrôle</w:t>
            </w:r>
          </w:p>
        </w:tc>
      </w:tr>
    </w:tbl>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8.2 Contrôles de l’exposition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9 : Propriétés physiques et chimiques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9.1 Informations sur les propriétés physiques et chimiques essentielles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4531"/>
        <w:gridCol w:w="4531"/>
      </w:tblGrid>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État physique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Solide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Couleur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Odeur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Caractéristique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Seuil Olfactif</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fusion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d’ébullition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congélation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Inflammabilité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Limites d’explosivité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inférieure d'explosion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supérieure d'explosion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éclair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&gt;100°C</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d'auto-inflammation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décomposition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pH</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Viscosité, cinématique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Solubilité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Coefficient de partage n-octanol/eau (Log Kow)</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 à 50°C</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Masse volumique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 de vapeur à 20°C</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Caractéristiques d’une particule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9.2 Autres informations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10 : Stabilité et réactivité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10.1 Réactivité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n'est pas réactif dans les conditions normales d'utilisation, de stockage et de transport</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10.2 Stabilité chimique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Stable dans les conditions normales.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10.3 Possibilité de réactions dangereuses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de réaction dangereuse connue dans les conditions normales d'emploi.</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10.4 Conditions à éviter</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dans des conditions de stockage et de manipulation recommandées (voir rubrique 7).</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10.5 Matières incompatibles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10.6 Produits de décomposition dangereux</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 produit de décomposition dangereux ne devrait être généré dans les conditions normales de stockage et d'emploi.</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11 : Informations toxicologiques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11.1 Informations sur les classes de danger telles que définies dans le règlement (CE) n° 1272/2008</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4531"/>
        <w:gridCol w:w="4531"/>
      </w:tblGrid>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(orale)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(Inhalation)</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Corrosion cutanée/irritation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Lésions oculaires graves/irritation oculaire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Sensibilisation respiratoire ou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Non classé</w:t>
            </w:r>
          </w:p>
          <w:p>
            <w:pPr>
              <w:spacing w:before="0" w:after="0" w:line="240"/>
              <w:ind w:right="0" w:left="0" w:firstLine="0"/>
              <w:jc w:val="left"/>
              <w:rPr>
                <w:color w:val="auto"/>
                <w:spacing w:val="0"/>
                <w:position w:val="0"/>
                <w:shd w:fill="auto" w:val="clear"/>
              </w:rPr>
            </w:pP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Mutagénicité sur les cellules germinales</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Cancérogénicité</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pour la reproduction</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spécifique pour certains organes cibles (STOT) (exposition unique)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spécifique pour certains organes cibles (STOT) (exposition répétée)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 par aspiration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11.2 Informations sur les autres dangers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12 : Informations écologiques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12.1 Toxicité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547"/>
        <w:gridCol w:w="6515"/>
      </w:tblGrid>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Ecologie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g</w:t>
            </w:r>
            <w:r>
              <w:rPr>
                <w:rFonts w:ascii="Arial" w:hAnsi="Arial" w:cs="Arial" w:eastAsia="Arial"/>
                <w:color w:val="auto"/>
                <w:spacing w:val="0"/>
                <w:position w:val="0"/>
                <w:sz w:val="16"/>
                <w:shd w:fill="auto" w:val="clear"/>
              </w:rPr>
              <w:t xml:space="preserve">énéral</w:t>
            </w:r>
          </w:p>
          <w:p>
            <w:pPr>
              <w:spacing w:before="0" w:after="0" w:line="240"/>
              <w:ind w:right="0" w:left="0" w:firstLine="0"/>
              <w:jc w:val="left"/>
              <w:rPr>
                <w:color w:val="auto"/>
                <w:spacing w:val="0"/>
                <w:position w:val="0"/>
                <w:shd w:fill="auto" w:val="clear"/>
              </w:rPr>
            </w:pP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Dangers pour le milieu aquatique, à court terme (aiguë)</w:t>
            </w:r>
          </w:p>
          <w:p>
            <w:pPr>
              <w:spacing w:before="0" w:after="0" w:line="240"/>
              <w:ind w:right="0" w:left="0" w:firstLine="0"/>
              <w:jc w:val="left"/>
              <w:rPr>
                <w:color w:val="auto"/>
                <w:spacing w:val="0"/>
                <w:position w:val="0"/>
                <w:shd w:fill="auto" w:val="clear"/>
              </w:rPr>
            </w:pP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Dangers pour le milieu aquatique, à long terme (chronique)</w:t>
            </w: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Nocif pour les organismes aquatiques, entraîne des effets néfastes à long terme.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12.2 Persistance et dégradabilité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12.3 Potentiel de bioaccumulation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12.4 Mobilité dans le sol</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12.5 Résultats des évaluations PBT et vPvB</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12.6 Propriétés perturbant le système endocrinien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12.7 Autres effets néfastes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13 : Considérations relatives à l’élimination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13.1 Méthodes de traitement des déchets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972"/>
        <w:gridCol w:w="6090"/>
      </w:tblGrid>
      <w:tr>
        <w:trPr>
          <w:trHeight w:val="1" w:hRule="atLeast"/>
          <w:jc w:val="left"/>
        </w:trPr>
        <w:tc>
          <w:tcPr>
            <w:tcW w:w="297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Méthodes de traitement des déchets</w:t>
            </w:r>
          </w:p>
        </w:tc>
        <w:tc>
          <w:tcPr>
            <w:tcW w:w="60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Eliminer le contenu/récipient conformément aux consignes de tri du collecteur agréé.</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14 : Informations relatives au transport</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En conformité avec: ADR / IMDG / IATA / ADN / RID</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WGK : 1</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980"/>
        <w:gridCol w:w="1984"/>
        <w:gridCol w:w="1843"/>
        <w:gridCol w:w="1843"/>
        <w:gridCol w:w="1984"/>
      </w:tblGrid>
      <w:tr>
        <w:trPr>
          <w:trHeight w:val="1" w:hRule="atLeast"/>
          <w:jc w:val="left"/>
        </w:trPr>
        <w:tc>
          <w:tcPr>
            <w:tcW w:w="1980"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ADR</w:t>
            </w:r>
          </w:p>
        </w:tc>
        <w:tc>
          <w:tcPr>
            <w:tcW w:w="1984"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IMDG</w:t>
            </w:r>
          </w:p>
        </w:tc>
        <w:tc>
          <w:tcPr>
            <w:tcW w:w="1843"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IATA</w:t>
            </w:r>
          </w:p>
        </w:tc>
        <w:tc>
          <w:tcPr>
            <w:tcW w:w="1843"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ADN</w:t>
            </w:r>
          </w:p>
        </w:tc>
        <w:tc>
          <w:tcPr>
            <w:tcW w:w="1984"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RID</w:t>
            </w:r>
          </w:p>
          <w:p>
            <w:pPr>
              <w:spacing w:before="0" w:after="0" w:line="240"/>
              <w:ind w:right="0" w:left="0" w:firstLine="0"/>
              <w:jc w:val="center"/>
              <w:rPr>
                <w:color w:val="auto"/>
                <w:spacing w:val="0"/>
                <w:position w:val="0"/>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14.1.</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Numéro</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ONU</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ou</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numéro</w:t>
            </w:r>
            <w:r>
              <w:rPr>
                <w:rFonts w:ascii="Arial" w:hAnsi="Arial" w:cs="Arial" w:eastAsia="Arial"/>
                <w:b/>
                <w:color w:val="0070C0"/>
                <w:spacing w:val="-2"/>
                <w:position w:val="0"/>
                <w:sz w:val="18"/>
                <w:shd w:fill="auto" w:val="clear"/>
              </w:rPr>
              <w:t xml:space="preserve"> d’identification</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4"/>
                <w:position w:val="0"/>
                <w:sz w:val="18"/>
                <w:shd w:fill="auto" w:val="clear"/>
              </w:rPr>
            </w:pPr>
            <w:r>
              <w:rPr>
                <w:rFonts w:ascii="Arial" w:hAnsi="Arial" w:cs="Arial" w:eastAsia="Arial"/>
                <w:b/>
                <w:color w:val="0070C0"/>
                <w:spacing w:val="0"/>
                <w:position w:val="0"/>
                <w:sz w:val="18"/>
                <w:shd w:fill="auto" w:val="clear"/>
              </w:rPr>
              <w:t xml:space="preserve">14.2.</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Désignation</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officielle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transport</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4"/>
                <w:position w:val="0"/>
                <w:sz w:val="18"/>
                <w:shd w:fill="auto" w:val="clear"/>
              </w:rPr>
              <w:t xml:space="preserve">l'ONU</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6"/>
                <w:shd w:fill="auto" w:val="clear"/>
              </w:rPr>
            </w:pPr>
            <w:r>
              <w:rPr>
                <w:rFonts w:ascii="Arial" w:hAnsi="Arial" w:cs="Arial" w:eastAsia="Arial"/>
                <w:b/>
                <w:color w:val="0070C0"/>
                <w:spacing w:val="0"/>
                <w:position w:val="0"/>
                <w:sz w:val="16"/>
                <w:shd w:fill="auto" w:val="clear"/>
              </w:rPr>
              <w:t xml:space="preserve">Description</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document</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2"/>
                <w:position w:val="0"/>
                <w:sz w:val="16"/>
                <w:shd w:fill="auto" w:val="clear"/>
              </w:rPr>
              <w:t xml:space="preserve"> transport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14.3.</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0"/>
                <w:position w:val="0"/>
                <w:sz w:val="18"/>
                <w:shd w:fill="auto" w:val="clear"/>
              </w:rPr>
              <w:t xml:space="preserve">Classe(s)</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danger</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pour</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le</w:t>
            </w:r>
            <w:r>
              <w:rPr>
                <w:rFonts w:ascii="Arial" w:hAnsi="Arial" w:cs="Arial" w:eastAsia="Arial"/>
                <w:b/>
                <w:color w:val="0070C0"/>
                <w:spacing w:val="-2"/>
                <w:position w:val="0"/>
                <w:sz w:val="18"/>
                <w:shd w:fill="auto" w:val="clear"/>
              </w:rPr>
              <w:t xml:space="preserve"> transport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14.4.</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Groupe</w:t>
            </w:r>
            <w:r>
              <w:rPr>
                <w:rFonts w:ascii="Arial" w:hAnsi="Arial" w:cs="Arial" w:eastAsia="Arial"/>
                <w:b/>
                <w:color w:val="0070C0"/>
                <w:spacing w:val="-2"/>
                <w:position w:val="0"/>
                <w:sz w:val="18"/>
                <w:shd w:fill="auto" w:val="clear"/>
              </w:rPr>
              <w:t xml:space="preserve"> d’emballage</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14.5.</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0"/>
                <w:position w:val="0"/>
                <w:sz w:val="18"/>
                <w:shd w:fill="auto" w:val="clear"/>
              </w:rPr>
              <w:t xml:space="preserve">Dangers</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pour</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2"/>
                <w:position w:val="0"/>
                <w:sz w:val="18"/>
                <w:shd w:fill="auto" w:val="clear"/>
              </w:rPr>
              <w:t xml:space="preserve">l'environnement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15 : Informations relatives à la réglementation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15.1 Réglementations/législation particulières à la substance ou au mélange en matière de sécurité, de santé et d’environnement</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color w:val="0070C0"/>
          <w:spacing w:val="0"/>
          <w:position w:val="0"/>
          <w:sz w:val="16"/>
          <w:shd w:fill="auto" w:val="clear"/>
        </w:rPr>
        <w:t xml:space="preserve">15.1.1 </w:t>
      </w:r>
      <w:r>
        <w:rPr>
          <w:rFonts w:ascii="Arial" w:hAnsi="Arial" w:cs="Arial" w:eastAsia="Arial"/>
          <w:b/>
          <w:color w:val="0070C0"/>
          <w:spacing w:val="0"/>
          <w:position w:val="0"/>
          <w:sz w:val="16"/>
          <w:shd w:fill="auto" w:val="clear"/>
        </w:rPr>
        <w:t xml:space="preserve">Réglementations UE</w:t>
      </w:r>
    </w:p>
    <w:p>
      <w:pPr>
        <w:spacing w:before="0" w:after="0" w:line="240"/>
        <w:ind w:right="0" w:left="-567" w:firstLine="0"/>
        <w:jc w:val="left"/>
        <w:rPr>
          <w:rFonts w:ascii="Arial" w:hAnsi="Arial" w:cs="Arial" w:eastAsia="Arial"/>
          <w:b/>
          <w:color w:val="0070C0"/>
          <w:spacing w:val="0"/>
          <w:position w:val="0"/>
          <w:sz w:val="16"/>
          <w:shd w:fill="auto" w:val="clear"/>
        </w:rPr>
      </w:pPr>
    </w:p>
    <w:p>
      <w:pPr>
        <w:spacing w:before="122"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l’annexe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XIV</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REACH</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d’autorisation)</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157"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Liste</w:t>
      </w:r>
      <w:r>
        <w:rPr>
          <w:rFonts w:ascii="Arial" w:hAnsi="Arial" w:cs="Arial" w:eastAsia="Arial"/>
          <w:b/>
          <w:color w:val="0070C0"/>
          <w:spacing w:val="-5"/>
          <w:position w:val="0"/>
          <w:sz w:val="16"/>
          <w:shd w:fill="auto" w:val="clear"/>
        </w:rPr>
        <w:t xml:space="preserve"> </w:t>
      </w:r>
      <w:r>
        <w:rPr>
          <w:rFonts w:ascii="Arial" w:hAnsi="Arial" w:cs="Arial" w:eastAsia="Arial"/>
          <w:b/>
          <w:color w:val="0070C0"/>
          <w:spacing w:val="0"/>
          <w:position w:val="0"/>
          <w:sz w:val="16"/>
          <w:shd w:fill="auto" w:val="clear"/>
        </w:rPr>
        <w:t xml:space="preserve">candidate</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REACH</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2"/>
          <w:position w:val="0"/>
          <w:sz w:val="16"/>
          <w:shd w:fill="auto" w:val="clear"/>
        </w:rPr>
        <w:t xml:space="preserve">(SVHC)</w:t>
      </w:r>
    </w:p>
    <w:p>
      <w:pPr>
        <w:spacing w:before="157"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candidates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REACH</w:t>
      </w:r>
    </w:p>
    <w:p>
      <w:pPr>
        <w:spacing w:before="157"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Règlement</w:t>
      </w:r>
      <w:r>
        <w:rPr>
          <w:rFonts w:ascii="Arial" w:hAnsi="Arial" w:cs="Arial" w:eastAsia="Arial"/>
          <w:b/>
          <w:color w:val="0070C0"/>
          <w:spacing w:val="-5"/>
          <w:position w:val="0"/>
          <w:sz w:val="16"/>
          <w:shd w:fill="auto" w:val="clear"/>
        </w:rPr>
        <w:t xml:space="preserve"> </w:t>
      </w:r>
      <w:r>
        <w:rPr>
          <w:rFonts w:ascii="Arial" w:hAnsi="Arial" w:cs="Arial" w:eastAsia="Arial"/>
          <w:b/>
          <w:color w:val="0070C0"/>
          <w:spacing w:val="0"/>
          <w:position w:val="0"/>
          <w:sz w:val="16"/>
          <w:shd w:fill="auto" w:val="clear"/>
        </w:rPr>
        <w:t xml:space="preserve">PIC</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(UE</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649/2012,</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consentement</w:t>
      </w:r>
      <w:r>
        <w:rPr>
          <w:rFonts w:ascii="Arial" w:hAnsi="Arial" w:cs="Arial" w:eastAsia="Arial"/>
          <w:b/>
          <w:color w:val="0070C0"/>
          <w:spacing w:val="-5"/>
          <w:position w:val="0"/>
          <w:sz w:val="16"/>
          <w:shd w:fill="auto" w:val="clear"/>
        </w:rPr>
        <w:t xml:space="preserve"> </w:t>
      </w:r>
      <w:r>
        <w:rPr>
          <w:rFonts w:ascii="Arial" w:hAnsi="Arial" w:cs="Arial" w:eastAsia="Arial"/>
          <w:b/>
          <w:color w:val="0070C0"/>
          <w:spacing w:val="0"/>
          <w:position w:val="0"/>
          <w:sz w:val="16"/>
          <w:shd w:fill="auto" w:val="clear"/>
        </w:rPr>
        <w:t xml:space="preserve">préalable</w:t>
      </w:r>
      <w:r>
        <w:rPr>
          <w:rFonts w:ascii="Arial" w:hAnsi="Arial" w:cs="Arial" w:eastAsia="Arial"/>
          <w:b/>
          <w:color w:val="0070C0"/>
          <w:spacing w:val="-5"/>
          <w:position w:val="0"/>
          <w:sz w:val="16"/>
          <w:shd w:fill="auto" w:val="clear"/>
        </w:rPr>
        <w:t xml:space="preserve"> </w:t>
      </w:r>
      <w:r>
        <w:rPr>
          <w:rFonts w:ascii="Arial" w:hAnsi="Arial" w:cs="Arial" w:eastAsia="Arial"/>
          <w:b/>
          <w:color w:val="0070C0"/>
          <w:spacing w:val="0"/>
          <w:position w:val="0"/>
          <w:sz w:val="16"/>
          <w:shd w:fill="auto" w:val="clear"/>
        </w:rPr>
        <w:t xml:space="preserve">en</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connaissance</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5"/>
          <w:position w:val="0"/>
          <w:sz w:val="16"/>
          <w:shd w:fill="auto" w:val="clear"/>
        </w:rPr>
        <w:t xml:space="preserve"> </w:t>
      </w:r>
      <w:r>
        <w:rPr>
          <w:rFonts w:ascii="Arial" w:hAnsi="Arial" w:cs="Arial" w:eastAsia="Arial"/>
          <w:b/>
          <w:color w:val="0070C0"/>
          <w:spacing w:val="-2"/>
          <w:position w:val="0"/>
          <w:sz w:val="16"/>
          <w:shd w:fill="auto" w:val="clear"/>
        </w:rPr>
        <w:t xml:space="preserve">cause)</w:t>
      </w:r>
    </w:p>
    <w:p>
      <w:pPr>
        <w:spacing w:before="157"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PIC</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(Règlement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UE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649/2012</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concernant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exportations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et</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importations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produits chimiques dangereux)</w:t>
      </w:r>
    </w:p>
    <w:p>
      <w:pPr>
        <w:spacing w:before="119"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Règlement</w:t>
      </w:r>
      <w:r>
        <w:rPr>
          <w:rFonts w:ascii="Arial" w:hAnsi="Arial" w:cs="Arial" w:eastAsia="Arial"/>
          <w:b/>
          <w:color w:val="0070C0"/>
          <w:spacing w:val="-6"/>
          <w:position w:val="0"/>
          <w:sz w:val="16"/>
          <w:shd w:fill="auto" w:val="clear"/>
        </w:rPr>
        <w:t xml:space="preserve"> </w:t>
      </w:r>
      <w:r>
        <w:rPr>
          <w:rFonts w:ascii="Arial" w:hAnsi="Arial" w:cs="Arial" w:eastAsia="Arial"/>
          <w:b/>
          <w:color w:val="0070C0"/>
          <w:spacing w:val="0"/>
          <w:position w:val="0"/>
          <w:sz w:val="16"/>
          <w:shd w:fill="auto" w:val="clear"/>
        </w:rPr>
        <w:t xml:space="preserve">POP</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(UE</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2019/1021,</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polluants</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organiques</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2"/>
          <w:position w:val="0"/>
          <w:sz w:val="16"/>
          <w:shd w:fill="auto" w:val="clear"/>
        </w:rPr>
        <w:t xml:space="preserve">persistants)</w:t>
      </w:r>
    </w:p>
    <w:p>
      <w:pPr>
        <w:spacing w:before="119"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4"/>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POP</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(règlement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UE</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2019/1021</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sur</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polluants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organiques</w:t>
      </w:r>
      <w:r>
        <w:rPr>
          <w:rFonts w:ascii="Arial" w:hAnsi="Arial" w:cs="Arial" w:eastAsia="Arial"/>
          <w:color w:val="auto"/>
          <w:spacing w:val="-2"/>
          <w:position w:val="0"/>
          <w:sz w:val="16"/>
          <w:shd w:fill="auto" w:val="clear"/>
        </w:rPr>
        <w:t xml:space="preserve"> persistants)</w:t>
      </w:r>
    </w:p>
    <w:p>
      <w:pPr>
        <w:spacing w:before="157"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Règlement</w:t>
      </w:r>
      <w:r>
        <w:rPr>
          <w:rFonts w:ascii="Arial" w:hAnsi="Arial" w:cs="Arial" w:eastAsia="Arial"/>
          <w:b/>
          <w:color w:val="0070C0"/>
          <w:spacing w:val="-6"/>
          <w:position w:val="0"/>
          <w:sz w:val="16"/>
          <w:shd w:fill="auto" w:val="clear"/>
        </w:rPr>
        <w:t xml:space="preserve"> </w:t>
      </w:r>
      <w:r>
        <w:rPr>
          <w:rFonts w:ascii="Arial" w:hAnsi="Arial" w:cs="Arial" w:eastAsia="Arial"/>
          <w:b/>
          <w:color w:val="0070C0"/>
          <w:spacing w:val="0"/>
          <w:position w:val="0"/>
          <w:sz w:val="16"/>
          <w:shd w:fill="auto" w:val="clear"/>
        </w:rPr>
        <w:t xml:space="preserve">sur</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l’appauvrissement</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la</w:t>
      </w:r>
      <w:r>
        <w:rPr>
          <w:rFonts w:ascii="Arial" w:hAnsi="Arial" w:cs="Arial" w:eastAsia="Arial"/>
          <w:b/>
          <w:color w:val="0070C0"/>
          <w:spacing w:val="-5"/>
          <w:position w:val="0"/>
          <w:sz w:val="16"/>
          <w:shd w:fill="auto" w:val="clear"/>
        </w:rPr>
        <w:t xml:space="preserve"> </w:t>
      </w:r>
      <w:r>
        <w:rPr>
          <w:rFonts w:ascii="Arial" w:hAnsi="Arial" w:cs="Arial" w:eastAsia="Arial"/>
          <w:b/>
          <w:color w:val="0070C0"/>
          <w:spacing w:val="0"/>
          <w:position w:val="0"/>
          <w:sz w:val="16"/>
          <w:shd w:fill="auto" w:val="clear"/>
        </w:rPr>
        <w:t xml:space="preserve">couche</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d’ozone</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(UE</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2"/>
          <w:position w:val="0"/>
          <w:sz w:val="16"/>
          <w:shd w:fill="auto" w:val="clear"/>
        </w:rPr>
        <w:t xml:space="preserve">1005/2009)</w:t>
      </w:r>
    </w:p>
    <w:p>
      <w:pPr>
        <w:spacing w:before="157"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aucune</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substance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listée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appauvrissant</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couche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d’ozone</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(Règlement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(CE)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n°</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1005/2009</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relatif</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à</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 substances appauvrissant la couche d’ozone)</w:t>
      </w:r>
    </w:p>
    <w:p>
      <w:pPr>
        <w:spacing w:before="97" w:after="0" w:line="288"/>
        <w:ind w:right="0" w:left="-567" w:firstLine="0"/>
        <w:jc w:val="left"/>
        <w:rPr>
          <w:rFonts w:ascii="Arial" w:hAnsi="Arial" w:cs="Arial" w:eastAsia="Arial"/>
          <w:color w:val="auto"/>
          <w:spacing w:val="0"/>
          <w:position w:val="0"/>
          <w:sz w:val="16"/>
          <w:shd w:fill="auto" w:val="clear"/>
        </w:rPr>
      </w:pPr>
      <w:r>
        <w:rPr>
          <w:rFonts w:ascii="Arial" w:hAnsi="Arial" w:cs="Arial" w:eastAsia="Arial"/>
          <w:b/>
          <w:color w:val="0070C0"/>
          <w:spacing w:val="0"/>
          <w:position w:val="0"/>
          <w:sz w:val="16"/>
          <w:shd w:fill="auto" w:val="clear"/>
        </w:rPr>
        <w:t xml:space="preserve">Règlement</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sur</w:t>
      </w:r>
      <w:r>
        <w:rPr>
          <w:rFonts w:ascii="Arial" w:hAnsi="Arial" w:cs="Arial" w:eastAsia="Arial"/>
          <w:b/>
          <w:color w:val="0070C0"/>
          <w:spacing w:val="-2"/>
          <w:position w:val="0"/>
          <w:sz w:val="16"/>
          <w:shd w:fill="auto" w:val="clear"/>
        </w:rPr>
        <w:t xml:space="preserve"> </w:t>
      </w:r>
      <w:r>
        <w:rPr>
          <w:rFonts w:ascii="Arial" w:hAnsi="Arial" w:cs="Arial" w:eastAsia="Arial"/>
          <w:b/>
          <w:color w:val="0070C0"/>
          <w:spacing w:val="0"/>
          <w:position w:val="0"/>
          <w:sz w:val="16"/>
          <w:shd w:fill="auto" w:val="clear"/>
        </w:rPr>
        <w:t xml:space="preserve">les</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précurseurs</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d’explosifs</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(UE</w:t>
      </w:r>
      <w:r>
        <w:rPr>
          <w:rFonts w:ascii="Arial" w:hAnsi="Arial" w:cs="Arial" w:eastAsia="Arial"/>
          <w:b/>
          <w:color w:val="0070C0"/>
          <w:spacing w:val="-2"/>
          <w:position w:val="0"/>
          <w:sz w:val="16"/>
          <w:shd w:fill="auto" w:val="clear"/>
        </w:rPr>
        <w:t xml:space="preserve"> 2019/1148)</w:t>
      </w:r>
    </w:p>
    <w:p>
      <w:pPr>
        <w:spacing w:before="97" w:after="0" w:line="288"/>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précurseurs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d’explosifs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(Règlement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UE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2019/1148</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relatif</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à</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commercialisation</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et</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à l’utilisation des précurseurs d’explosifs)</w:t>
      </w:r>
    </w:p>
    <w:p>
      <w:pPr>
        <w:spacing w:before="120"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Règlement</w:t>
      </w:r>
      <w:r>
        <w:rPr>
          <w:rFonts w:ascii="Arial" w:hAnsi="Arial" w:cs="Arial" w:eastAsia="Arial"/>
          <w:b/>
          <w:color w:val="0070C0"/>
          <w:spacing w:val="-2"/>
          <w:position w:val="0"/>
          <w:sz w:val="16"/>
          <w:shd w:fill="auto" w:val="clear"/>
        </w:rPr>
        <w:t xml:space="preserve"> </w:t>
      </w:r>
      <w:r>
        <w:rPr>
          <w:rFonts w:ascii="Arial" w:hAnsi="Arial" w:cs="Arial" w:eastAsia="Arial"/>
          <w:b/>
          <w:color w:val="0070C0"/>
          <w:spacing w:val="0"/>
          <w:position w:val="0"/>
          <w:sz w:val="16"/>
          <w:shd w:fill="auto" w:val="clear"/>
        </w:rPr>
        <w:t xml:space="preserve">sur</w:t>
      </w:r>
      <w:r>
        <w:rPr>
          <w:rFonts w:ascii="Arial" w:hAnsi="Arial" w:cs="Arial" w:eastAsia="Arial"/>
          <w:b/>
          <w:color w:val="0070C0"/>
          <w:spacing w:val="-2"/>
          <w:position w:val="0"/>
          <w:sz w:val="16"/>
          <w:shd w:fill="auto" w:val="clear"/>
        </w:rPr>
        <w:t xml:space="preserve"> </w:t>
      </w:r>
      <w:r>
        <w:rPr>
          <w:rFonts w:ascii="Arial" w:hAnsi="Arial" w:cs="Arial" w:eastAsia="Arial"/>
          <w:b/>
          <w:color w:val="0070C0"/>
          <w:spacing w:val="0"/>
          <w:position w:val="0"/>
          <w:sz w:val="16"/>
          <w:shd w:fill="auto" w:val="clear"/>
        </w:rPr>
        <w:t xml:space="preserve">les</w:t>
      </w:r>
      <w:r>
        <w:rPr>
          <w:rFonts w:ascii="Arial" w:hAnsi="Arial" w:cs="Arial" w:eastAsia="Arial"/>
          <w:b/>
          <w:color w:val="0070C0"/>
          <w:spacing w:val="-2"/>
          <w:position w:val="0"/>
          <w:sz w:val="16"/>
          <w:shd w:fill="auto" w:val="clear"/>
        </w:rPr>
        <w:t xml:space="preserve"> </w:t>
      </w:r>
      <w:r>
        <w:rPr>
          <w:rFonts w:ascii="Arial" w:hAnsi="Arial" w:cs="Arial" w:eastAsia="Arial"/>
          <w:b/>
          <w:color w:val="0070C0"/>
          <w:spacing w:val="0"/>
          <w:position w:val="0"/>
          <w:sz w:val="16"/>
          <w:shd w:fill="auto" w:val="clear"/>
        </w:rPr>
        <w:t xml:space="preserve">précurseurs</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2"/>
          <w:position w:val="0"/>
          <w:sz w:val="16"/>
          <w:shd w:fill="auto" w:val="clear"/>
        </w:rPr>
        <w:t xml:space="preserve"> </w:t>
      </w:r>
      <w:r>
        <w:rPr>
          <w:rFonts w:ascii="Arial" w:hAnsi="Arial" w:cs="Arial" w:eastAsia="Arial"/>
          <w:b/>
          <w:color w:val="0070C0"/>
          <w:spacing w:val="0"/>
          <w:position w:val="0"/>
          <w:sz w:val="16"/>
          <w:shd w:fill="auto" w:val="clear"/>
        </w:rPr>
        <w:t xml:space="preserve">drogues</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(CE</w:t>
      </w:r>
      <w:r>
        <w:rPr>
          <w:rFonts w:ascii="Arial" w:hAnsi="Arial" w:cs="Arial" w:eastAsia="Arial"/>
          <w:b/>
          <w:color w:val="0070C0"/>
          <w:spacing w:val="-1"/>
          <w:position w:val="0"/>
          <w:sz w:val="16"/>
          <w:shd w:fill="auto" w:val="clear"/>
        </w:rPr>
        <w:t xml:space="preserve"> </w:t>
      </w:r>
      <w:r>
        <w:rPr>
          <w:rFonts w:ascii="Arial" w:hAnsi="Arial" w:cs="Arial" w:eastAsia="Arial"/>
          <w:b/>
          <w:color w:val="0070C0"/>
          <w:spacing w:val="-2"/>
          <w:position w:val="0"/>
          <w:sz w:val="16"/>
          <w:shd w:fill="auto" w:val="clear"/>
        </w:rPr>
        <w:t xml:space="preserve">273/2004)</w:t>
      </w:r>
    </w:p>
    <w:p>
      <w:pPr>
        <w:spacing w:before="120"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précurseurs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drogues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(Règlement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CE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273/2004</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relatif</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à</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fabrication</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et</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à</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mise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sur le marché de certaines substances utilisées pour la fabrication illicite de stupéfiants et de substances psychotropes).</w:t>
      </w:r>
    </w:p>
    <w:p>
      <w:pPr>
        <w:spacing w:before="96" w:after="0" w:line="288"/>
        <w:ind w:right="232" w:left="120"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15.2 Évaluation de la sécurité chimique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évaluation de la sécurité chimique n'a été effectuée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16 : Autres informations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88"/>
        <w:gridCol w:w="1701"/>
        <w:gridCol w:w="6945"/>
      </w:tblGrid>
      <w:tr>
        <w:trPr>
          <w:trHeight w:val="1" w:hRule="atLeast"/>
          <w:jc w:val="left"/>
        </w:trPr>
        <w:tc>
          <w:tcPr>
            <w:tcW w:w="9634" w:type="dxa"/>
            <w:gridSpan w:val="3"/>
            <w:tcBorders>
              <w:top w:val="single" w:color="0070c0" w:sz="4"/>
              <w:left w:val="single" w:color="0070c0" w:sz="4"/>
              <w:bottom w:val="single" w:color="0070c0" w:sz="4"/>
              <w:right w:val="single" w:color="0070c0" w:sz="4"/>
            </w:tcBorders>
            <w:shd w:color="auto" w:fill="92cddc" w:val="clear"/>
            <w:tcMar>
              <w:left w:w="108" w:type="dxa"/>
              <w:right w:w="108" w:type="dxa"/>
            </w:tcMar>
            <w:vAlign w:val="top"/>
          </w:tcPr>
          <w:p>
            <w:pPr>
              <w:spacing w:before="0" w:after="0" w:line="240"/>
              <w:ind w:right="0" w:left="0" w:firstLine="0"/>
              <w:jc w:val="left"/>
              <w:rPr>
                <w:rFonts w:ascii="Arial" w:hAnsi="Arial" w:cs="Arial" w:eastAsia="Arial"/>
                <w:b/>
                <w:color w:val="0070C0"/>
                <w:spacing w:val="-4"/>
                <w:position w:val="0"/>
                <w:sz w:val="18"/>
                <w:shd w:fill="auto" w:val="clear"/>
              </w:rPr>
            </w:pPr>
            <w:r>
              <w:rPr>
                <w:rFonts w:ascii="Arial" w:hAnsi="Arial" w:cs="Arial" w:eastAsia="Arial"/>
                <w:b/>
                <w:color w:val="0070C0"/>
                <w:spacing w:val="0"/>
                <w:position w:val="0"/>
                <w:sz w:val="18"/>
                <w:shd w:fill="auto" w:val="clear"/>
              </w:rPr>
              <w:t xml:space="preserve">Texte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intégral</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des</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phrases</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H et </w:t>
            </w:r>
            <w:r>
              <w:rPr>
                <w:rFonts w:ascii="Arial" w:hAnsi="Arial" w:cs="Arial" w:eastAsia="Arial"/>
                <w:b/>
                <w:color w:val="0070C0"/>
                <w:spacing w:val="-4"/>
                <w:position w:val="0"/>
                <w:sz w:val="18"/>
                <w:shd w:fill="auto" w:val="clear"/>
              </w:rPr>
              <w:t xml:space="preserve">EUH:</w:t>
            </w:r>
          </w:p>
          <w:p>
            <w:pPr>
              <w:spacing w:before="0" w:after="0" w:line="240"/>
              <w:ind w:right="0" w:left="0" w:firstLine="0"/>
              <w:jc w:val="left"/>
              <w:rPr>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H226</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Flam. Liq. 3</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Liquide et vapeurs inflammables.</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H302</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Acute Tox. 4</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en cas d’ingestion.</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H304</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Asp. Tox. 1</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Peut être mortel en cas d'ingestion et de pénétration dans les voies respiratoires.</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H312</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Acute Tox. 4</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par contact cutané.</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H315</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Irrit.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Provoque une irritation cutanée.</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H317</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Sens 1B</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provoquer une allergie cutanée.</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H319</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Eye Irrit.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Provoque une sévère irritation des yeux.</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H360FD</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Repr. 1A</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Peut nuire au f</w:t>
            </w:r>
            <w:r>
              <w:rPr>
                <w:rFonts w:ascii="Arial" w:hAnsi="Arial" w:cs="Arial" w:eastAsia="Arial"/>
                <w:color w:val="auto"/>
                <w:spacing w:val="0"/>
                <w:position w:val="0"/>
                <w:sz w:val="16"/>
                <w:shd w:fill="auto" w:val="clear"/>
              </w:rPr>
              <w:t xml:space="preserve">œtus Peut nuire </w:t>
            </w:r>
            <w:r>
              <w:rPr>
                <w:rFonts w:ascii="Arial" w:hAnsi="Arial" w:cs="Arial" w:eastAsia="Arial"/>
                <w:color w:val="auto"/>
                <w:spacing w:val="0"/>
                <w:position w:val="0"/>
                <w:sz w:val="16"/>
                <w:shd w:fill="auto" w:val="clear"/>
              </w:rPr>
              <w:t xml:space="preserve">à la fertilité. Peut nuire au f</w:t>
            </w:r>
            <w:r>
              <w:rPr>
                <w:rFonts w:ascii="Arial" w:hAnsi="Arial" w:cs="Arial" w:eastAsia="Arial"/>
                <w:color w:val="auto"/>
                <w:spacing w:val="0"/>
                <w:position w:val="0"/>
                <w:sz w:val="16"/>
                <w:shd w:fill="auto" w:val="clear"/>
              </w:rPr>
              <w:t xml:space="preserve">œtus.</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H361</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Repr.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Susceptible de nuire à la fertilité ou au f</w:t>
            </w:r>
            <w:r>
              <w:rPr>
                <w:rFonts w:ascii="Arial" w:hAnsi="Arial" w:cs="Arial" w:eastAsia="Arial"/>
                <w:color w:val="auto"/>
                <w:spacing w:val="0"/>
                <w:position w:val="0"/>
                <w:sz w:val="16"/>
                <w:shd w:fill="auto" w:val="clear"/>
              </w:rPr>
              <w:t xml:space="preserve">œtus.</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H410</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1</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Très toxique pour les organismes aquatiques, entraîne des effets néfastes à long terme.</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H411</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Toxique pour les organismes aquatiques, entraîne des effets néfastes à long terme.</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H412</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3</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tabs>
          <w:tab w:val="left" w:pos="3924" w:leader="none"/>
        </w:tabs>
        <w:spacing w:before="95" w:after="0" w:line="444"/>
        <w:ind w:right="6101" w:left="-567" w:firstLine="0"/>
        <w:jc w:val="left"/>
        <w:rPr>
          <w:rFonts w:ascii="Arial" w:hAnsi="Arial" w:cs="Arial" w:eastAsia="Arial"/>
          <w:color w:val="auto"/>
          <w:spacing w:val="0"/>
          <w:position w:val="0"/>
          <w:sz w:val="16"/>
          <w:shd w:fill="auto" w:val="clear"/>
        </w:rPr>
      </w:pPr>
      <w:r>
        <w:rPr>
          <w:rFonts w:ascii="Arial" w:hAnsi="Arial" w:cs="Arial" w:eastAsia="Arial"/>
          <w:color w:val="808080"/>
          <w:spacing w:val="0"/>
          <w:position w:val="0"/>
          <w:sz w:val="16"/>
          <w:shd w:fill="auto" w:val="clear"/>
        </w:rPr>
        <w:t xml:space="preserve">Fiche de données de sécurité (FDS), UE</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808080"/>
          <w:spacing w:val="0"/>
          <w:position w:val="0"/>
          <w:sz w:val="16"/>
          <w:shd w:fill="auto" w:val="clear"/>
        </w:rPr>
        <w:t xml:space="preserve">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informations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sont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basées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sur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nos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connaissances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actuelles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décrivent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produit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pour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seuls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besoins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santé,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sécurité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 l’environnement. Elles ne devraient donc pas être interprétées comme garantissant une quelconque propriété spécifique du produit.</w:t>
      </w:r>
    </w:p>
  </w:body>
</w:document>
</file>

<file path=word/numbering.xml><?xml version="1.0" encoding="utf-8"?>
<w:numbering xmlns:w="http://schemas.openxmlformats.org/wordprocessingml/2006/main">
  <w:abstractNum w:abstractNumId="0">
    <w:lvl w:ilvl="0">
      <w:start w:val="1"/>
      <w:numFmt w:val="bullet"/>
      <w:lvlText w:val="•"/>
    </w:lvl>
  </w:abstractNum>
  <w:num w:numId="1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