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chèvrefeuille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France: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eugenol, linalyl acetate, 1-(1,2,3,4,5,6,7,8-octahydro-2,3,8,8-tetramethyl-2-naphthyl)ethan-1-one, benzyl salicylate, </w:t>
            </w:r>
            <w:r>
              <w:rPr>
                <w:rFonts w:ascii="Calibri" w:hAnsi="Calibri" w:cs="Calibri" w:eastAsia="Calibri"/>
                <w:color w:val="000000"/>
                <w:spacing w:val="0"/>
                <w:position w:val="0"/>
                <w:sz w:val="20"/>
                <w:shd w:fill="auto" w:val="clear"/>
              </w:rPr>
              <w:t xml:space="preserve">α-hexylcinnamaldehyde, 3-p-cumenyl-2-methylpropionaldehyde, 7-hydroxycitronellal, linalool, 3-methyl-4-(2,6,6-trimethyl-2-cyclohexen-1-yl)-3-buten-2-one, citral.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[Ionone, methyl-, CAS: 1335-46-2, EC: 215-635-0] est/sont évalué(s)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140-11-4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(cutanée): 5000 mg/kg</w:t>
              <w:br/>
              <w:t xml:space="preserve">ETA (orale): 2490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205-399-7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01-2119638272-42-XXXX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7-hydroxycitronellal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107-75-5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0.84%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203-518-7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01-2119973482-31-XXXX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3-p-cumenyl-2-methylpropionaldehyde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3810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203-161-7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01-2119970582-32-XXXX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0.4619999999%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0.3682%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1,3,4,6,7,8-hexahydro-4,6,6,7,8,8-hexamethylindeno[5,6-c]pyran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1222-05-5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0.2275%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214-946-9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603-212-00-7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01-2119488227-29-XXXX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eugenol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97-53-0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2500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202-589-1</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01-2119971802-33-XXXX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salicylate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607-754-00-5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01-2119969442-31-XXXX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3-methyl-4-(2,6,6-trimethyl-2-cyclohexen-1-yl)-3-buten-2-one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127-51-5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0.1841%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204-846-3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01-2120138569-45-XXXX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citral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0.1071%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605-019-00-3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01-2119462829-23-XXXX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Ionone, methyl-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1335-46-2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0.0959%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215-635-0</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01-2119471851-35-XXXX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Musc - Orangée - Florale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[Ionone, methyl-, CAS: 1335-46-2, EC: 215-635-0]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Directive n°648/2004 (Allergenic fragrance ingredients N°1223/2009)</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7-hydroxycitronellal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107-75-5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203-518-7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eugenol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97-53-0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202-589-1</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salicylate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3-methyl-4-(2,6,6-trimethyl-2-cyclohexen-1-yl)-3-buten-2-one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127-51-5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204-846-3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Belgium</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acetate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140-11-4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205-399-7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Canada (Ontario)</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acetate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140-11-4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205-399-7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5392-40-5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226-394-6</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08/10/2024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08/10/2024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08/10/2024</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