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0" w:after="136" w:line="259"/>
        <w:ind w:right="84" w:left="0" w:firstLine="0"/>
        <w:jc w:val="center"/>
        <w:rPr>
          <w:rFonts w:ascii="Arial" w:hAnsi="Arial" w:cs="Arial" w:eastAsia="Arial"/>
          <w:b/>
          <w:color w:val="073D48"/>
          <w:spacing w:val="0"/>
          <w:position w:val="0"/>
          <w:sz w:val="32"/>
          <w:shd w:fill="D49C14" w:val="clear"/>
        </w:rPr>
      </w:pPr>
      <w:r>
        <w:rPr>
          <w:rFonts w:ascii="Arial" w:hAnsi="Arial" w:cs="Arial" w:eastAsia="Arial"/>
          <w:b/>
          <w:color w:val="073D48"/>
          <w:spacing w:val="0"/>
          <w:position w:val="0"/>
          <w:sz w:val="32"/>
          <w:shd w:fill="D49C14" w:val="clear"/>
        </w:rPr>
        <w:t xml:space="preserve">Menthe chocolat 10%</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 IDENTIFICATION DE LA SUBSTANCE/DU MELANGE ET DE LA SOCIETE/L'ENTREPRISE</w:t>
      </w:r>
    </w:p>
    <w:p>
      <w:pPr>
        <w:spacing w:before="0" w:after="134"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 Identificateur de produit</w:t>
      </w:r>
    </w:p>
    <w:p>
      <w:pPr>
        <w:spacing w:before="0" w:after="115" w:line="251"/>
        <w:ind w:right="7405" w:left="-5" w:hanging="10"/>
        <w:jc w:val="both"/>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Menthe chocolat 10%</w:t>
      </w:r>
    </w:p>
    <w:p>
      <w:pPr>
        <w:spacing w:before="0" w:after="3" w:line="265"/>
        <w:ind w:right="0" w:left="0" w:firstLine="0"/>
        <w:jc w:val="both"/>
        <w:rPr>
          <w:rFonts w:ascii="Arial" w:hAnsi="Arial" w:cs="Arial" w:eastAsia="Arial"/>
          <w:b/>
          <w:color w:val="073D48"/>
          <w:spacing w:val="0"/>
          <w:position w:val="0"/>
          <w:sz w:val="20"/>
          <w:shd w:fill="auto" w:val="clear"/>
        </w:rPr>
      </w:pPr>
      <w:r>
        <w:rPr>
          <w:rFonts w:ascii="Arial" w:hAnsi="Arial" w:cs="Arial" w:eastAsia="Arial"/>
          <w:b/>
          <w:color w:val="073D48"/>
          <w:spacing w:val="0"/>
          <w:position w:val="0"/>
          <w:sz w:val="20"/>
          <w:shd w:fill="auto" w:val="clear"/>
        </w:rPr>
        <w:t xml:space="preserve">UFI : NON</w:t>
      </w:r>
    </w:p>
    <w:p>
      <w:pPr>
        <w:spacing w:before="0" w:after="115" w:line="251"/>
        <w:ind w:right="7405" w:left="-5" w:hanging="10"/>
        <w:jc w:val="both"/>
        <w:rPr>
          <w:rFonts w:ascii="Arial" w:hAnsi="Arial" w:cs="Arial" w:eastAsia="Arial"/>
          <w:color w:val="073D48"/>
          <w:spacing w:val="0"/>
          <w:position w:val="0"/>
          <w:sz w:val="20"/>
          <w:shd w:fill="auto" w:val="clear"/>
        </w:rPr>
      </w:pP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 Utilisations identifiées pertinentes de la substance ou du mélange et utilisations déconseillées</w:t>
      </w:r>
    </w:p>
    <w:p>
      <w:pPr>
        <w:spacing w:before="0" w:after="152" w:line="265"/>
        <w:ind w:right="67" w:left="747" w:hanging="10"/>
        <w:jc w:val="both"/>
        <w:rPr>
          <w:rFonts w:ascii="Arial" w:hAnsi="Arial" w:cs="Arial" w:eastAsia="Arial"/>
          <w:color w:val="073D48"/>
          <w:spacing w:val="0"/>
          <w:position w:val="0"/>
          <w:sz w:val="20"/>
          <w:shd w:fill="auto" w:val="clear"/>
        </w:rPr>
      </w:pPr>
    </w:p>
    <w:p>
      <w:pPr>
        <w:spacing w:before="0" w:after="152" w:line="265"/>
        <w:ind w:right="67" w:left="747" w:hanging="10"/>
        <w:jc w:val="both"/>
        <w:rPr>
          <w:rFonts w:ascii="Arial" w:hAnsi="Arial" w:cs="Arial" w:eastAsia="Arial"/>
          <w:color w:val="073D48"/>
          <w:spacing w:val="0"/>
          <w:position w:val="0"/>
          <w:sz w:val="20"/>
          <w:shd w:fill="auto" w:val="clear"/>
        </w:rPr>
      </w:pPr>
    </w:p>
    <w:p>
      <w:pPr>
        <w:spacing w:before="0" w:after="152"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 Renseignements concernant le fournisseur de la fiche de données de sécurité</w:t>
      </w:r>
    </w:p>
    <w:p>
      <w:pPr>
        <w:spacing w:before="0" w:after="3" w:line="265"/>
        <w:ind w:right="0" w:left="747" w:hanging="10"/>
        <w:jc w:val="both"/>
        <w:rPr>
          <w:rFonts w:ascii="Arial" w:hAnsi="Arial" w:cs="Arial" w:eastAsia="Arial"/>
          <w:b/>
          <w:color w:val="073D48"/>
          <w:spacing w:val="0"/>
          <w:position w:val="0"/>
          <w:sz w:val="20"/>
          <w:shd w:fill="auto" w:val="clear"/>
        </w:rPr>
      </w:pPr>
      <w:r>
        <w:rPr>
          <w:rFonts w:ascii="Arial" w:hAnsi="Arial" w:cs="Arial" w:eastAsia="Arial"/>
          <w:b/>
          <w:color w:val="073D48"/>
          <w:spacing w:val="0"/>
          <w:position w:val="0"/>
          <w:sz w:val="20"/>
          <w:shd w:fill="auto" w:val="clear"/>
        </w:rPr>
        <w:t xml:space="preserve">Fabricant :</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[Nom de votre société]</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[Adresse]</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[Pays]</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[Téléphone]</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[Mail]</w:t>
      </w:r>
    </w:p>
    <w:p>
      <w:pPr>
        <w:spacing w:before="0" w:after="153" w:line="265"/>
        <w:ind w:right="67" w:left="747" w:hanging="10"/>
        <w:jc w:val="both"/>
        <w:rPr>
          <w:rFonts w:ascii="Arial" w:hAnsi="Arial" w:cs="Arial" w:eastAsia="Arial"/>
          <w:color w:val="073D48"/>
          <w:spacing w:val="0"/>
          <w:position w:val="0"/>
          <w:sz w:val="20"/>
          <w:shd w:fill="auto" w:val="clear"/>
        </w:rPr>
      </w:pP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73D48"/>
          <w:spacing w:val="0"/>
          <w:position w:val="0"/>
          <w:sz w:val="20"/>
          <w:shd w:fill="auto" w:val="clear"/>
        </w:rPr>
      </w:pPr>
      <w:r>
        <w:rPr>
          <w:rFonts w:ascii="Arial" w:hAnsi="Arial" w:cs="Arial" w:eastAsia="Arial"/>
          <w:i/>
          <w:color w:val="073D48"/>
          <w:spacing w:val="0"/>
          <w:position w:val="0"/>
          <w:sz w:val="20"/>
          <w:shd w:fill="auto" w:val="clear"/>
        </w:rPr>
        <w:t xml:space="preserve">Téléphone en cas d’urgence (à utiliser par le médecin traitant) : </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France : </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 de Nancy : + 33 (0)3 83 85 21 92</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Belgique :</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Antipoisons : + 320 22 64 96 36</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Luxembourg :</w:t>
      </w:r>
    </w:p>
    <w:p>
      <w:pPr>
        <w:spacing w:before="0" w:after="82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2: IDENTIFICATION DES DANGERS</w:t>
      </w:r>
    </w:p>
    <w:p>
      <w:pPr>
        <w:spacing w:before="0" w:after="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u w:val="single"/>
          <w:shd w:fill="auto" w:val="clear"/>
        </w:rPr>
        <w:t xml:space="preserve">Classification GHS :</w:t>
      </w:r>
    </w:p>
    <w:p>
      <w:pPr>
        <w:spacing w:before="0" w:after="575" w:line="251"/>
        <w:ind w:right="7405" w:left="-5" w:hanging="10"/>
        <w:jc w:val="both"/>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(LégislationCLP)</w:t>
      </w:r>
    </w:p>
    <w:p>
      <w:pPr>
        <w:spacing w:before="0" w:after="325" w:line="251"/>
        <w:ind w:right="208" w:left="-5" w:hanging="10"/>
        <w:jc w:val="both"/>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EUH208 - Contient (4R)-1-methyl-4-prop-1-en-2-ylcyclohexene (dextro-limonene), (5R)-2-methyl-5-prop-1-en-2-ylcyclohex-2en-1-one (laevo-carvone), natural 5-methyl-2-propan-2-ylcyclohexan-1-one (natural p-menthone).  Peut produire une réaction allergique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u w:val="single"/>
          <w:shd w:fill="auto" w:val="clear"/>
        </w:rPr>
        <w:t xml:space="preserve">Classification GHS :</w:t>
      </w:r>
    </w:p>
    <w:p>
      <w:pPr>
        <w:spacing w:before="0" w:after="952" w:line="251"/>
        <w:ind w:right="7405" w:left="-5" w:hanging="10"/>
        <w:jc w:val="both"/>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(LégislationCLP)</w:t>
      </w:r>
    </w:p>
    <w:p>
      <w:pPr>
        <w:spacing w:before="0" w:after="498"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EUH208 - Contient (4R)-1-methyl-4-prop-1-en-2-ylcyclohexene (dextro-limonene), (5R)-2-methyl-5-prop-1-en-2ylcyclohex-2-en-1-one (laevo-carvone), natural 5-methyl-2-propan-2-ylcyclohexan-1-one (natural p-menthone).  Peut produire une réaction allergique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2.3. Autres dangers</w:t>
      </w:r>
    </w:p>
    <w:p>
      <w:pPr>
        <w:spacing w:before="0" w:after="784"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3: COMPOSITION/INFORMATIONS SUR LES COMPOSANTS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3.1. Substances</w:t>
      </w:r>
    </w:p>
    <w:p>
      <w:pPr>
        <w:spacing w:before="0" w:after="111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 non concerné par la liste de composants. </w:t>
      </w:r>
    </w:p>
    <w:p>
      <w:pPr>
        <w:spacing w:before="0" w:after="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3.2. Mélanges</w:t>
      </w:r>
    </w:p>
    <w:tbl>
      <w:tblPr/>
      <w:tblGrid>
        <w:gridCol w:w="3510"/>
        <w:gridCol w:w="991"/>
        <w:gridCol w:w="779"/>
        <w:gridCol w:w="2998"/>
        <w:gridCol w:w="1318"/>
      </w:tblGrid>
      <w:tr>
        <w:trPr>
          <w:trHeight w:val="349" w:hRule="auto"/>
          <w:jc w:val="left"/>
        </w:trPr>
        <w:tc>
          <w:tcPr>
            <w:tcW w:w="3510" w:type="dxa"/>
            <w:tcBorders>
              <w:top w:val="single" w:color="000000" w:sz="2"/>
              <w:left w:val="single" w:color="000000" w:sz="2"/>
              <w:bottom w:val="single" w:color="c0c0c0" w:sz="2"/>
              <w:right w:val="single" w:color="000000" w:sz="4"/>
            </w:tcBorders>
            <w:shd w:color="000000" w:fill="ffffff" w:val="clear"/>
            <w:tcMar>
              <w:left w:w="64" w:type="dxa"/>
              <w:right w:w="64" w:type="dxa"/>
            </w:tcMar>
            <w:vAlign w:val="top"/>
          </w:tcPr>
          <w:p>
            <w:pPr>
              <w:spacing w:before="0" w:after="0" w:line="259"/>
              <w:ind w:right="0" w:left="29" w:firstLine="0"/>
              <w:jc w:val="center"/>
              <w:rPr>
                <w:spacing w:val="0"/>
                <w:position w:val="0"/>
                <w:shd w:fill="auto" w:val="clear"/>
              </w:rPr>
            </w:pPr>
            <w:r>
              <w:rPr>
                <w:rFonts w:ascii="Arial" w:hAnsi="Arial" w:cs="Arial" w:eastAsia="Arial"/>
                <w:color w:val="073D48"/>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4"/>
            </w:tcBorders>
            <w:shd w:color="000000" w:fill="ffffff" w:val="clear"/>
            <w:tcMar>
              <w:left w:w="64" w:type="dxa"/>
              <w:right w:w="64" w:type="dxa"/>
            </w:tcMar>
            <w:vAlign w:val="top"/>
          </w:tcPr>
          <w:p>
            <w:pPr>
              <w:spacing w:before="0" w:after="0" w:line="259"/>
              <w:ind w:right="0" w:left="33" w:firstLine="0"/>
              <w:jc w:val="center"/>
              <w:rPr>
                <w:spacing w:val="0"/>
                <w:position w:val="0"/>
                <w:shd w:fill="auto" w:val="clear"/>
              </w:rPr>
            </w:pPr>
            <w:r>
              <w:rPr>
                <w:rFonts w:ascii="Arial" w:hAnsi="Arial" w:cs="Arial" w:eastAsia="Arial"/>
                <w:color w:val="073D48"/>
                <w:spacing w:val="0"/>
                <w:position w:val="0"/>
                <w:sz w:val="16"/>
                <w:shd w:fill="auto" w:val="clear"/>
              </w:rPr>
              <w:t xml:space="preserve">C.A.S</w:t>
            </w:r>
          </w:p>
        </w:tc>
        <w:tc>
          <w:tcPr>
            <w:tcW w:w="779" w:type="dxa"/>
            <w:tcBorders>
              <w:top w:val="single" w:color="000000" w:sz="2"/>
              <w:left w:val="single" w:color="000000" w:sz="4"/>
              <w:bottom w:val="single" w:color="c0c0c0" w:sz="2"/>
              <w:right w:val="single" w:color="000000" w:sz="4"/>
            </w:tcBorders>
            <w:shd w:color="000000" w:fill="ffffff" w:val="clear"/>
            <w:tcMar>
              <w:left w:w="64" w:type="dxa"/>
              <w:right w:w="64" w:type="dxa"/>
            </w:tcMar>
            <w:vAlign w:val="top"/>
          </w:tcPr>
          <w:p>
            <w:pPr>
              <w:spacing w:before="0" w:after="0" w:line="259"/>
              <w:ind w:right="0" w:left="43" w:firstLine="0"/>
              <w:jc w:val="both"/>
              <w:rPr>
                <w:spacing w:val="0"/>
                <w:position w:val="0"/>
                <w:shd w:fill="auto" w:val="clear"/>
              </w:rPr>
            </w:pPr>
            <w:r>
              <w:rPr>
                <w:rFonts w:ascii="Arial" w:hAnsi="Arial" w:cs="Arial" w:eastAsia="Arial"/>
                <w:color w:val="073D48"/>
                <w:spacing w:val="0"/>
                <w:position w:val="0"/>
                <w:sz w:val="16"/>
                <w:shd w:fill="auto" w:val="clear"/>
              </w:rPr>
              <w:t xml:space="preserve">EINECS</w:t>
            </w:r>
          </w:p>
        </w:tc>
        <w:tc>
          <w:tcPr>
            <w:tcW w:w="2998" w:type="dxa"/>
            <w:tcBorders>
              <w:top w:val="single" w:color="000000" w:sz="2"/>
              <w:left w:val="single" w:color="000000" w:sz="4"/>
              <w:bottom w:val="single" w:color="c0c0c0" w:sz="2"/>
              <w:right w:val="single" w:color="000000" w:sz="4"/>
            </w:tcBorders>
            <w:shd w:color="000000" w:fill="ffffff" w:val="clear"/>
            <w:tcMar>
              <w:left w:w="64" w:type="dxa"/>
              <w:right w:w="64" w:type="dxa"/>
            </w:tcMar>
            <w:vAlign w:val="top"/>
          </w:tcPr>
          <w:p>
            <w:pPr>
              <w:spacing w:before="0" w:after="0" w:line="259"/>
              <w:ind w:right="0" w:left="36" w:firstLine="0"/>
              <w:jc w:val="center"/>
              <w:rPr>
                <w:spacing w:val="0"/>
                <w:position w:val="0"/>
                <w:shd w:fill="auto" w:val="clear"/>
              </w:rPr>
            </w:pPr>
            <w:r>
              <w:rPr>
                <w:rFonts w:ascii="Arial" w:hAnsi="Arial" w:cs="Arial" w:eastAsia="Arial"/>
                <w:color w:val="073D48"/>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64" w:type="dxa"/>
              <w:right w:w="64" w:type="dxa"/>
            </w:tcMar>
            <w:vAlign w:val="top"/>
          </w:tcPr>
          <w:p>
            <w:pPr>
              <w:spacing w:before="0" w:after="0" w:line="259"/>
              <w:ind w:right="0" w:left="62" w:firstLine="0"/>
              <w:jc w:val="left"/>
              <w:rPr>
                <w:spacing w:val="0"/>
                <w:position w:val="0"/>
                <w:shd w:fill="auto" w:val="clear"/>
              </w:rPr>
            </w:pPr>
            <w:r>
              <w:rPr>
                <w:rFonts w:ascii="Arial" w:hAnsi="Arial" w:cs="Arial" w:eastAsia="Arial"/>
                <w:color w:val="073D48"/>
                <w:spacing w:val="0"/>
                <w:position w:val="0"/>
                <w:sz w:val="16"/>
                <w:shd w:fill="auto" w:val="clear"/>
              </w:rPr>
              <w:t xml:space="preserve">Pourcentage %</w:t>
            </w:r>
          </w:p>
        </w:tc>
      </w:tr>
      <w:tr>
        <w:trPr>
          <w:trHeight w:val="84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64" w:type="dxa"/>
              <w:right w:w="64" w:type="dxa"/>
            </w:tcMar>
            <w:vAlign w:val="center"/>
          </w:tcPr>
          <w:p>
            <w:pPr>
              <w:spacing w:before="0" w:after="0" w:line="240"/>
              <w:ind w:right="0" w:left="1"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(4R)-1-methyl-4-prop-1-en-2-ylcyclohexene (dextro-limonene)   (No REACH :</w:t>
            </w:r>
          </w:p>
          <w:p>
            <w:pPr>
              <w:spacing w:before="0" w:after="0" w:line="259"/>
              <w:ind w:right="0" w:left="1" w:firstLine="0"/>
              <w:jc w:val="left"/>
              <w:rPr>
                <w:spacing w:val="0"/>
                <w:position w:val="0"/>
                <w:shd w:fill="auto" w:val="clear"/>
              </w:rPr>
            </w:pPr>
            <w:r>
              <w:rPr>
                <w:rFonts w:ascii="Arial" w:hAnsi="Arial" w:cs="Arial" w:eastAsia="Arial"/>
                <w:color w:val="073D48"/>
                <w:spacing w:val="0"/>
                <w:position w:val="0"/>
                <w:sz w:val="16"/>
                <w:shd w:fill="auto" w:val="clear"/>
              </w:rPr>
              <w:t xml:space="preserve">01-2119529223-47-XXXX)</w:t>
            </w:r>
          </w:p>
        </w:tc>
        <w:tc>
          <w:tcPr>
            <w:tcW w:w="991"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center"/>
          </w:tcPr>
          <w:p>
            <w:pPr>
              <w:spacing w:before="0" w:after="0" w:line="259"/>
              <w:ind w:right="0" w:left="20" w:firstLine="0"/>
              <w:jc w:val="center"/>
              <w:rPr>
                <w:spacing w:val="0"/>
                <w:position w:val="0"/>
                <w:shd w:fill="auto" w:val="clear"/>
              </w:rPr>
            </w:pPr>
            <w:r>
              <w:rPr>
                <w:rFonts w:ascii="Arial" w:hAnsi="Arial" w:cs="Arial" w:eastAsia="Arial"/>
                <w:color w:val="073D48"/>
                <w:spacing w:val="0"/>
                <w:position w:val="0"/>
                <w:sz w:val="14"/>
                <w:shd w:fill="auto" w:val="clear"/>
              </w:rPr>
              <w:t xml:space="preserve">5989-27-5</w:t>
            </w:r>
          </w:p>
        </w:tc>
        <w:tc>
          <w:tcPr>
            <w:tcW w:w="779"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center"/>
          </w:tcPr>
          <w:p>
            <w:pPr>
              <w:spacing w:before="0" w:after="0" w:line="259"/>
              <w:ind w:right="0" w:left="21" w:firstLine="0"/>
              <w:jc w:val="left"/>
              <w:rPr>
                <w:spacing w:val="0"/>
                <w:position w:val="0"/>
                <w:shd w:fill="auto" w:val="clear"/>
              </w:rPr>
            </w:pPr>
            <w:r>
              <w:rPr>
                <w:rFonts w:ascii="Arial" w:hAnsi="Arial" w:cs="Arial" w:eastAsia="Arial"/>
                <w:color w:val="073D48"/>
                <w:spacing w:val="0"/>
                <w:position w:val="0"/>
                <w:sz w:val="14"/>
                <w:shd w:fill="auto" w:val="clear"/>
              </w:rPr>
              <w:t xml:space="preserve">227-813-5</w:t>
            </w:r>
          </w:p>
        </w:tc>
        <w:tc>
          <w:tcPr>
            <w:tcW w:w="2998"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top"/>
          </w:tcPr>
          <w:p>
            <w:pPr>
              <w:spacing w:before="0" w:after="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Asp. Tox. 1, Eye Irrit. 2, Aquatic Acute 1,</w:t>
            </w:r>
          </w:p>
          <w:p>
            <w:pPr>
              <w:spacing w:before="0" w:after="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Aquatic Chronic 3, Flam. Liq. 3, Skin</w:t>
            </w:r>
          </w:p>
          <w:p>
            <w:pPr>
              <w:spacing w:before="0" w:after="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Irrit. 2, Skin Sens. 1 - H226, H304,</w:t>
            </w:r>
          </w:p>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H315, H317, H319, H400, H412</w:t>
            </w:r>
          </w:p>
        </w:tc>
        <w:tc>
          <w:tcPr>
            <w:tcW w:w="1318" w:type="dxa"/>
            <w:tcBorders>
              <w:top w:val="single" w:color="c0c0c0" w:sz="2"/>
              <w:left w:val="single" w:color="c0c0c0" w:sz="4"/>
              <w:bottom w:val="single" w:color="c0c0c0" w:sz="2"/>
              <w:right w:val="single" w:color="c0c0c0" w:sz="2"/>
            </w:tcBorders>
            <w:shd w:color="000000" w:fill="ffffff" w:val="clear"/>
            <w:tcMar>
              <w:left w:w="64" w:type="dxa"/>
              <w:right w:w="64"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66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64" w:type="dxa"/>
              <w:right w:w="64" w:type="dxa"/>
            </w:tcMar>
            <w:vAlign w:val="top"/>
          </w:tcPr>
          <w:p>
            <w:pPr>
              <w:spacing w:before="0" w:after="0" w:line="240"/>
              <w:ind w:right="0" w:left="1"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(5R)-2-methyl-5-prop-1-en-2-ylcyclohex-2-en-1one (laevo-carvone)   (No REACH :</w:t>
            </w:r>
          </w:p>
          <w:p>
            <w:pPr>
              <w:spacing w:before="0" w:after="0" w:line="259"/>
              <w:ind w:right="0" w:left="1" w:firstLine="0"/>
              <w:jc w:val="left"/>
              <w:rPr>
                <w:spacing w:val="0"/>
                <w:position w:val="0"/>
                <w:shd w:fill="auto" w:val="clear"/>
              </w:rPr>
            </w:pPr>
            <w:r>
              <w:rPr>
                <w:rFonts w:ascii="Arial" w:hAnsi="Arial" w:cs="Arial" w:eastAsia="Arial"/>
                <w:color w:val="073D48"/>
                <w:spacing w:val="0"/>
                <w:position w:val="0"/>
                <w:sz w:val="16"/>
                <w:shd w:fill="auto" w:val="clear"/>
              </w:rPr>
              <w:t xml:space="preserve">01-2119962458-25-XXXX)</w:t>
            </w:r>
          </w:p>
        </w:tc>
        <w:tc>
          <w:tcPr>
            <w:tcW w:w="991"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center"/>
          </w:tcPr>
          <w:p>
            <w:pPr>
              <w:spacing w:before="0" w:after="0" w:line="259"/>
              <w:ind w:right="0" w:left="20" w:firstLine="0"/>
              <w:jc w:val="center"/>
              <w:rPr>
                <w:spacing w:val="0"/>
                <w:position w:val="0"/>
                <w:shd w:fill="auto" w:val="clear"/>
              </w:rPr>
            </w:pPr>
            <w:r>
              <w:rPr>
                <w:rFonts w:ascii="Arial" w:hAnsi="Arial" w:cs="Arial" w:eastAsia="Arial"/>
                <w:color w:val="073D48"/>
                <w:spacing w:val="0"/>
                <w:position w:val="0"/>
                <w:sz w:val="14"/>
                <w:shd w:fill="auto" w:val="clear"/>
              </w:rPr>
              <w:t xml:space="preserve">6485-40-1</w:t>
            </w:r>
          </w:p>
        </w:tc>
        <w:tc>
          <w:tcPr>
            <w:tcW w:w="779"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center"/>
          </w:tcPr>
          <w:p>
            <w:pPr>
              <w:spacing w:before="0" w:after="0" w:line="259"/>
              <w:ind w:right="0" w:left="21" w:firstLine="0"/>
              <w:jc w:val="left"/>
              <w:rPr>
                <w:spacing w:val="0"/>
                <w:position w:val="0"/>
                <w:shd w:fill="auto" w:val="clear"/>
              </w:rPr>
            </w:pPr>
            <w:r>
              <w:rPr>
                <w:rFonts w:ascii="Arial" w:hAnsi="Arial" w:cs="Arial" w:eastAsia="Arial"/>
                <w:color w:val="073D48"/>
                <w:spacing w:val="0"/>
                <w:position w:val="0"/>
                <w:sz w:val="14"/>
                <w:shd w:fill="auto" w:val="clear"/>
              </w:rPr>
              <w:t xml:space="preserve">229-352-5</w:t>
            </w:r>
          </w:p>
        </w:tc>
        <w:tc>
          <w:tcPr>
            <w:tcW w:w="2998"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center"/>
          </w:tcPr>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Skin Sens. 1 - H317</w:t>
            </w:r>
          </w:p>
        </w:tc>
        <w:tc>
          <w:tcPr>
            <w:tcW w:w="1318" w:type="dxa"/>
            <w:tcBorders>
              <w:top w:val="single" w:color="c0c0c0" w:sz="2"/>
              <w:left w:val="single" w:color="c0c0c0" w:sz="4"/>
              <w:bottom w:val="single" w:color="c0c0c0" w:sz="2"/>
              <w:right w:val="single" w:color="c0c0c0" w:sz="2"/>
            </w:tcBorders>
            <w:shd w:color="000000" w:fill="ffffff" w:val="clear"/>
            <w:tcMar>
              <w:left w:w="64" w:type="dxa"/>
              <w:right w:w="64"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r>
        <w:trPr>
          <w:trHeight w:val="659"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64" w:type="dxa"/>
              <w:right w:w="64" w:type="dxa"/>
            </w:tcMar>
            <w:vAlign w:val="top"/>
          </w:tcPr>
          <w:p>
            <w:pPr>
              <w:spacing w:before="0" w:after="0" w:line="259"/>
              <w:ind w:right="0" w:left="1"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natural</w:t>
            </w:r>
          </w:p>
          <w:p>
            <w:pPr>
              <w:spacing w:before="0" w:after="0" w:line="259"/>
              <w:ind w:right="0" w:left="1"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5-methyl-2-propan-2-ylcyclohexan-1-one</w:t>
            </w:r>
          </w:p>
          <w:p>
            <w:pPr>
              <w:spacing w:before="0" w:after="0" w:line="259"/>
              <w:ind w:right="0" w:left="1" w:firstLine="0"/>
              <w:jc w:val="left"/>
              <w:rPr>
                <w:spacing w:val="0"/>
                <w:position w:val="0"/>
                <w:shd w:fill="auto" w:val="clear"/>
              </w:rPr>
            </w:pPr>
            <w:r>
              <w:rPr>
                <w:rFonts w:ascii="Arial" w:hAnsi="Arial" w:cs="Arial" w:eastAsia="Arial"/>
                <w:color w:val="073D48"/>
                <w:spacing w:val="0"/>
                <w:position w:val="0"/>
                <w:sz w:val="16"/>
                <w:shd w:fill="auto" w:val="clear"/>
              </w:rPr>
              <w:t xml:space="preserve">(natural p-menthone)</w:t>
            </w:r>
          </w:p>
        </w:tc>
        <w:tc>
          <w:tcPr>
            <w:tcW w:w="991"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center"/>
          </w:tcPr>
          <w:p>
            <w:pPr>
              <w:spacing w:before="0" w:after="0" w:line="259"/>
              <w:ind w:right="0" w:left="88" w:firstLine="0"/>
              <w:jc w:val="left"/>
              <w:rPr>
                <w:spacing w:val="0"/>
                <w:position w:val="0"/>
                <w:shd w:fill="auto" w:val="clear"/>
              </w:rPr>
            </w:pPr>
            <w:r>
              <w:rPr>
                <w:rFonts w:ascii="Arial" w:hAnsi="Arial" w:cs="Arial" w:eastAsia="Arial"/>
                <w:color w:val="073D48"/>
                <w:spacing w:val="0"/>
                <w:position w:val="0"/>
                <w:sz w:val="14"/>
                <w:shd w:fill="auto" w:val="clear"/>
              </w:rPr>
              <w:t xml:space="preserve">10458-14-7</w:t>
            </w:r>
          </w:p>
        </w:tc>
        <w:tc>
          <w:tcPr>
            <w:tcW w:w="779"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center"/>
          </w:tcPr>
          <w:p>
            <w:pPr>
              <w:spacing w:before="0" w:after="0" w:line="259"/>
              <w:ind w:right="0" w:left="21" w:firstLine="0"/>
              <w:jc w:val="left"/>
              <w:rPr>
                <w:spacing w:val="0"/>
                <w:position w:val="0"/>
                <w:shd w:fill="auto" w:val="clear"/>
              </w:rPr>
            </w:pPr>
            <w:r>
              <w:rPr>
                <w:rFonts w:ascii="Arial" w:hAnsi="Arial" w:cs="Arial" w:eastAsia="Arial"/>
                <w:color w:val="073D48"/>
                <w:spacing w:val="0"/>
                <w:position w:val="0"/>
                <w:sz w:val="14"/>
                <w:shd w:fill="auto" w:val="clear"/>
              </w:rPr>
              <w:t xml:space="preserve">233-944-9</w:t>
            </w:r>
          </w:p>
        </w:tc>
        <w:tc>
          <w:tcPr>
            <w:tcW w:w="2998" w:type="dxa"/>
            <w:tcBorders>
              <w:top w:val="single" w:color="c0c0c0" w:sz="2"/>
              <w:left w:val="single" w:color="c0c0c0" w:sz="4"/>
              <w:bottom w:val="single" w:color="c0c0c0" w:sz="2"/>
              <w:right w:val="single" w:color="c0c0c0" w:sz="4"/>
            </w:tcBorders>
            <w:shd w:color="000000" w:fill="ffffff" w:val="clear"/>
            <w:tcMar>
              <w:left w:w="64" w:type="dxa"/>
              <w:right w:w="64" w:type="dxa"/>
            </w:tcMar>
            <w:vAlign w:val="top"/>
          </w:tcPr>
          <w:p>
            <w:pPr>
              <w:spacing w:before="0" w:after="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Acute Tox. 4, Eye Irrit. 2, Aquatic</w:t>
            </w:r>
          </w:p>
          <w:p>
            <w:pPr>
              <w:spacing w:before="0" w:after="0" w:line="259"/>
              <w:ind w:right="0" w:left="0" w:firstLine="0"/>
              <w:jc w:val="left"/>
              <w:rPr>
                <w:spacing w:val="0"/>
                <w:position w:val="0"/>
                <w:shd w:fill="auto" w:val="clear"/>
              </w:rPr>
            </w:pPr>
            <w:r>
              <w:rPr>
                <w:rFonts w:ascii="Arial" w:hAnsi="Arial" w:cs="Arial" w:eastAsia="Arial"/>
                <w:color w:val="073D48"/>
                <w:spacing w:val="0"/>
                <w:position w:val="0"/>
                <w:sz w:val="16"/>
                <w:shd w:fill="auto" w:val="clear"/>
              </w:rPr>
              <w:t xml:space="preserve">Chronic 3, Skin Irrit. 2, Skin Sens. 1B H302, H315, H317, H319, H412</w:t>
            </w:r>
          </w:p>
        </w:tc>
        <w:tc>
          <w:tcPr>
            <w:tcW w:w="1318" w:type="dxa"/>
            <w:tcBorders>
              <w:top w:val="single" w:color="c0c0c0" w:sz="2"/>
              <w:left w:val="single" w:color="c0c0c0" w:sz="4"/>
              <w:bottom w:val="single" w:color="c0c0c0" w:sz="2"/>
              <w:right w:val="single" w:color="c0c0c0" w:sz="2"/>
            </w:tcBorders>
            <w:shd w:color="000000" w:fill="ffffff" w:val="clear"/>
            <w:tcMar>
              <w:left w:w="64" w:type="dxa"/>
              <w:right w:w="64"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73D48"/>
                <w:spacing w:val="0"/>
                <w:position w:val="0"/>
                <w:sz w:val="16"/>
                <w:shd w:fill="auto" w:val="clear"/>
              </w:rPr>
              <w:t xml:space="preserve">[ 0-5 ]</w:t>
            </w:r>
          </w:p>
        </w:tc>
      </w:tr>
    </w:tbl>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COMPOSITION : Mélange de matières premières aromatiques.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4: PREMIERS SECOURS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 Description des mesures de premiers secours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4.1.1. Informations générales:</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4.1.2. Après inhalation:</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Transporter la victime hors de la zone contaminée et la garder au repos.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4.1.3. Après contact avec la peau:</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Laver immédiatement à l'eau et au savon. En cas d'irritation de la peau, consulter un médecin.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4.1.4. Après contact avec les yeux:</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4.1.5. Après ingestion:</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4.1.6. Autoprotection du secouriste:</w:t>
      </w:r>
    </w:p>
    <w:p>
      <w:pPr>
        <w:spacing w:before="0" w:after="91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Secouriste: faire attention à se protéger!</w:t>
      </w:r>
    </w:p>
    <w:p>
      <w:pPr>
        <w:spacing w:before="0" w:after="766" w:line="425"/>
        <w:ind w:right="3754"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4.2. Principaux symptômes et effets, aigus et différés Tenir compte des phrases de risques et de sécurité.</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4.3. Indication des éventuels soins médicaux immédiats et traitements particuliers nécessaires</w:t>
      </w:r>
    </w:p>
    <w:p>
      <w:pPr>
        <w:spacing w:before="0" w:after="766" w:line="265"/>
        <w:ind w:right="2353"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Traitement spécifique: premier secours, traitement des symptômes. Commentaires pour le médecin: traiter symptomatiquement.</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5: MESURES DE LUTTE CONTRE L'INCENDIE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5.1. Moyens d’extinction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Moyens d'extinction appropriés: dioxyde de carbone (CO2), mousse, eau pulvérisée, poudre d'extinction sèche.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Méthodes d'extinction inappropriées: jet d'eau puissant.</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5.2. Dangers particuliers résultant de la substance ou du mélange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Classe d'inflammabilité : le produit n'est pas inflammable.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Refroidir à l'eau pulvérisée les récipients menacés. En cas d'incendie, des gaz nocifs peuvent se former. Ne pas les inhaler.</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Prévention : ne pas fumer. Pas de flamme nue.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Produits de combustion dangereux: les produits de décomposition peuvent éventuellement comprendre les substances suivantes: </w:t>
      </w:r>
    </w:p>
    <w:p>
      <w:pPr>
        <w:numPr>
          <w:ilvl w:val="0"/>
          <w:numId w:val="86"/>
        </w:numPr>
        <w:spacing w:before="0" w:after="3" w:line="265"/>
        <w:ind w:right="67" w:left="122" w:hanging="122"/>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dioxyde de carbone                                                                                                             </w:t>
      </w:r>
    </w:p>
    <w:p>
      <w:pPr>
        <w:numPr>
          <w:ilvl w:val="0"/>
          <w:numId w:val="86"/>
        </w:numPr>
        <w:spacing w:before="0" w:after="3" w:line="265"/>
        <w:ind w:right="67" w:left="122" w:hanging="122"/>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monoxyde de carbone.</w:t>
      </w:r>
    </w:p>
    <w:p>
      <w:pPr>
        <w:spacing w:before="0" w:after="922"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L'eau d'extinction contaminée doit être collectée à part. Ne pas jeter dans les égouts ou les eaux de surface.</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5.3. Conseils aux pompiers</w:t>
      </w:r>
    </w:p>
    <w:p>
      <w:pPr>
        <w:spacing w:before="0" w:after="788"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6: MESURES A PRENDRE EN CAS DE DISPERSION ACCIDENTELLE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 Précautions individuelles, équipement de protection et procédures d’urgence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6.1.1. Pour les non-secouristes:</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Utiliser un équipement de protection individuel, voir rubrique 8.</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6.1.2. Pour les intervenants d'urgence:</w:t>
      </w:r>
    </w:p>
    <w:p>
      <w:pPr>
        <w:spacing w:before="0" w:after="920"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6.2. Précautions pour la protection de l’environnement</w:t>
      </w:r>
    </w:p>
    <w:p>
      <w:pPr>
        <w:spacing w:before="0" w:after="1100"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 Méthodes et matériel de confinement et de nettoyage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Enlever avec un absorbant inerte (par exemple sable, gel de silice, agglomérant pour acide, agglomérant universel, sciure).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Eliminer comme déchet spécial conformément aux réglementations locales et nationales. </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6.3.1. Pour le confinement:</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Recueillir dans des récipients fermés et appropriés pour l'élimination.</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6.3.2. Pour le nettoyage:</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Nettoyer les objets et zones contaminés en observant soigneusement les réglementations environnementales.</w:t>
      </w:r>
    </w:p>
    <w:p>
      <w:pPr>
        <w:spacing w:before="0" w:after="915" w:line="265"/>
        <w:ind w:right="6763"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6.3.3. Autre information: Aucune.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6.4. Référence à d’autres rubriques</w:t>
      </w:r>
    </w:p>
    <w:p>
      <w:pPr>
        <w:spacing w:before="0" w:after="784"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7: MANIPULATION ET STOCKAGE</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7.1. Précautions à prendre pour une manipulation sans danger</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 protection:</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destinées à empêcher la production de particules en suspension et de poussières:</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 protection de l'environnement:</w:t>
      </w:r>
    </w:p>
    <w:p>
      <w:pPr>
        <w:spacing w:before="0" w:after="1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puits et les égouts doivent être protégés contre la pénétration du produit. Voir la rubrique 8.</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Conseils d'ordre général en matière d'hygiène au travail:</w:t>
      </w:r>
    </w:p>
    <w:p>
      <w:pPr>
        <w:spacing w:before="0" w:after="88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techniques et conditions de stockage: Conserver à la température ambiante.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Exigences concernant les lieux et conteneurs de stockage: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sol doit être étanche, sans joints et non absorbant. Assurer une ventilation adéquate de la zone de stockage.</w:t>
      </w:r>
    </w:p>
    <w:p>
      <w:pPr>
        <w:spacing w:before="0" w:after="915" w:line="265"/>
        <w:ind w:right="365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Information supplémentaire sur les conditions de stockage: Protéger les récipients contre les dommages.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7.3. Utilisation(s) finale(s) particulière(s)</w:t>
      </w:r>
    </w:p>
    <w:p>
      <w:pPr>
        <w:spacing w:before="0" w:after="76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Recommandations: respecter les instructions d'utilisation.</w:t>
      </w:r>
    </w:p>
    <w:p>
      <w:pPr>
        <w:keepNext w:val="true"/>
        <w:keepLines w:val="true"/>
        <w:spacing w:before="0" w:after="119"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8: CONTROLES DE L'EXPOSITION/PROTECTION INDIVIDUELLE</w:t>
      </w:r>
    </w:p>
    <w:p>
      <w:pPr>
        <w:spacing w:before="0" w:after="718"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Des examens de médecine préventive du travail sont à effectuer.</w:t>
      </w:r>
    </w:p>
    <w:p>
      <w:pPr>
        <w:spacing w:before="0" w:after="540" w:line="427"/>
        <w:ind w:right="6080"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8.1. Paramètres de contrôle Pas de données à ce jour.</w:t>
      </w:r>
    </w:p>
    <w:p>
      <w:pPr>
        <w:spacing w:before="0" w:after="139"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98"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d'instruction visant à prévenir l'exposition: pas de mesures spécifiques.</w:t>
      </w:r>
    </w:p>
    <w:p>
      <w:pPr>
        <w:spacing w:before="0" w:after="3" w:line="265"/>
        <w:ind w:right="2006"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9: PROPRIETES PHYSIQUES ET CHIMIQUES</w:t>
      </w:r>
    </w:p>
    <w:p>
      <w:pPr>
        <w:spacing w:before="0" w:after="158"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9.1. Informations sur les propriétés physiques et chimiques essentielles</w:t>
      </w:r>
    </w:p>
    <w:p>
      <w:pPr>
        <w:spacing w:before="0" w:after="108"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Etat physique (@20°C-1 atm.) :</w:t>
      </w:r>
    </w:p>
    <w:p>
      <w:pPr>
        <w:spacing w:before="0" w:after="8"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Couleur :</w:t>
      </w:r>
    </w:p>
    <w:tbl>
      <w:tblPr/>
      <w:tblGrid>
        <w:gridCol w:w="3096"/>
        <w:gridCol w:w="2314"/>
      </w:tblGrid>
      <w:tr>
        <w:trPr>
          <w:trHeight w:val="277"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Odeur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Caractéristique</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Point de fusion/point de congélation (@1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Inflammabilité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w:t>
            </w:r>
          </w:p>
        </w:tc>
      </w:tr>
      <w:tr>
        <w:trPr>
          <w:trHeight w:val="88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18" w:line="240"/>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Limites inférieure et supérieure d’explosion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Point d’éclair (°C)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déterminées</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Température d'auto-inflammation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pH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applicable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Solubilité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Coefficient de partage n-octanol/eau (valeur log)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73D48"/>
                <w:spacing w:val="0"/>
                <w:position w:val="0"/>
                <w:sz w:val="18"/>
                <w:shd w:fill="auto" w:val="clear"/>
              </w:rPr>
              <w:t xml:space="preserve">non applicable (mélange)</w:t>
            </w:r>
          </w:p>
        </w:tc>
      </w:tr>
      <w:tr>
        <w:trPr>
          <w:trHeight w:val="88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Densité et/ou densité relative (@20° C-1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Densité de vapeur relative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27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Caractéristiques des particules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applicable (liquide)</w:t>
            </w:r>
          </w:p>
        </w:tc>
      </w:tr>
    </w:tbl>
    <w:p>
      <w:pPr>
        <w:spacing w:before="0" w:after="158"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9.2. Autres informations</w:t>
      </w:r>
    </w:p>
    <w:p>
      <w:pPr>
        <w:spacing w:before="0" w:after="165" w:line="248"/>
        <w:ind w:right="0" w:left="-5" w:hanging="1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Indice de réfraction (@20°C) :</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10: STABILITE ET REACTIVITE</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10.1. Réactivité</w:t>
      </w:r>
    </w:p>
    <w:p>
      <w:pPr>
        <w:spacing w:before="0" w:after="676"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donnée d'essai spécifique disponible relative à la réactivité de ce produit ou de ses ingrédients.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10.2. Stabilité chimique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 substance est chimiquement stable dans les conditions recommandées de stockage, d'utilisation et de température.</w:t>
      </w:r>
    </w:p>
    <w:p>
      <w:pPr>
        <w:spacing w:before="0" w:after="15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10.3. Possibilité de réactions dangereuses</w:t>
      </w:r>
    </w:p>
    <w:p>
      <w:pPr>
        <w:spacing w:before="0" w:after="680" w:line="265"/>
        <w:ind w:right="939"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10.4. Conditions à éviter</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Eviter les températures au-dessus ou au moins 5°C en-dessous du point d'éclair pour tout liquide inflammable.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 pas chauffer les récipients fermés.</w:t>
      </w:r>
    </w:p>
    <w:p>
      <w:pPr>
        <w:spacing w:before="0" w:after="702" w:line="265"/>
        <w:ind w:right="506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Eviter le contact avec des agents oxydants. Sources directes de chaleur.</w:t>
      </w:r>
    </w:p>
    <w:p>
      <w:pPr>
        <w:spacing w:before="0" w:after="545" w:line="425"/>
        <w:ind w:right="5753"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10.5. Matières incompatibles Acides - Bases - Agents oxydants.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10.6. Produits de décomposition dangereux</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Décomposition thermique / conditions à éviter : </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11: INFORMATIONS TOXICOLOGIQUES</w:t>
      </w:r>
    </w:p>
    <w:p>
      <w:pPr>
        <w:spacing w:before="0" w:after="3" w:line="639"/>
        <w:ind w:right="0"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11.1. Informations sur les classes de danger telles que définies dans le règlement (CE) nº 1272/2008 a) toxicité aiguë</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(oral) = Non déterminée (mg/kg)</w:t>
      </w:r>
    </w:p>
    <w:p>
      <w:pPr>
        <w:spacing w:before="0" w:after="193" w:line="265"/>
        <w:ind w:right="390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(dermique) = Non déterminée (mg/kg) ETAmélange (inhal.) = Non déterminée (mg/l/4 h)</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corrosion cutanée/irritation cutanée voir section 2</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lésions oculaires graves/irritation oculaire voir section 2</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sensibilisation respiratoire ou cutanée voir section 2</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mutagénicité sur les cellules germinales voir section 2</w:t>
      </w:r>
    </w:p>
    <w:p>
      <w:pPr>
        <w:numPr>
          <w:ilvl w:val="0"/>
          <w:numId w:val="197"/>
        </w:numPr>
        <w:spacing w:before="0" w:after="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cancérogénicité voir section 2</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pour la reproduction voir section 2</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spécifique pour certains organes cibles (STOT) - exposition uniquevoir section 2</w:t>
      </w:r>
    </w:p>
    <w:p>
      <w:pPr>
        <w:numPr>
          <w:ilvl w:val="0"/>
          <w:numId w:val="197"/>
        </w:numPr>
        <w:spacing w:before="0" w:after="193"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spécifique pour certains organes cibles (STOT) - exposition répétée voir section 2</w:t>
      </w:r>
    </w:p>
    <w:p>
      <w:pPr>
        <w:numPr>
          <w:ilvl w:val="0"/>
          <w:numId w:val="197"/>
        </w:numPr>
        <w:spacing w:before="0" w:after="915" w:line="265"/>
        <w:ind w:right="5742" w:left="1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danger par aspiration voir section 2</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11.2.  Informations sur les autres dangers</w:t>
      </w:r>
    </w:p>
    <w:p>
      <w:pPr>
        <w:numPr>
          <w:ilvl w:val="0"/>
          <w:numId w:val="202"/>
        </w:numPr>
        <w:spacing w:before="0" w:after="193" w:line="265"/>
        <w:ind w:right="5742" w:left="73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Propriétés perturbant le système endocrinien: pas de données à ce jour.</w:t>
      </w:r>
    </w:p>
    <w:p>
      <w:pPr>
        <w:numPr>
          <w:ilvl w:val="0"/>
          <w:numId w:val="202"/>
        </w:numPr>
        <w:spacing w:before="0" w:after="730" w:line="265"/>
        <w:ind w:right="5742" w:left="73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12: INFORMATIONS ECOLOGIQUES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12.1. Toxicité</w:t>
      </w:r>
    </w:p>
    <w:p>
      <w:pPr>
        <w:spacing w:before="0" w:after="701"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 pas laisser le produit, non dilué ou en grande quantité, pénétrer la nappe phréatique, les eaux superficielles ou les égouts.</w:t>
      </w:r>
    </w:p>
    <w:p>
      <w:pPr>
        <w:spacing w:before="0" w:after="540" w:line="427"/>
        <w:ind w:right="5591"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12.2. Persistance et dégradabilité Pas de données à ce jour.</w:t>
      </w:r>
    </w:p>
    <w:p>
      <w:pPr>
        <w:spacing w:before="0" w:after="542" w:line="427"/>
        <w:ind w:right="5502"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12.3. Potentiel de bioaccumulation Pas de données à ce jour.</w:t>
      </w:r>
    </w:p>
    <w:p>
      <w:pPr>
        <w:spacing w:before="0" w:after="542" w:line="427"/>
        <w:ind w:right="6356"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12.4. Mobilité dans le sol Pas de données à ce jour.</w:t>
      </w:r>
    </w:p>
    <w:p>
      <w:pPr>
        <w:spacing w:before="0" w:after="3"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12.5. Résultats des évaluations PBT et vPvB</w:t>
      </w:r>
    </w:p>
    <w:p>
      <w:pPr>
        <w:spacing w:before="0" w:after="3" w:line="265"/>
        <w:ind w:right="0" w:left="747" w:hanging="10"/>
        <w:jc w:val="both"/>
        <w:rPr>
          <w:rFonts w:ascii="Arial" w:hAnsi="Arial" w:cs="Arial" w:eastAsia="Arial"/>
          <w:color w:val="073D48"/>
          <w:spacing w:val="0"/>
          <w:position w:val="0"/>
          <w:sz w:val="20"/>
          <w:shd w:fill="auto" w:val="clear"/>
        </w:rPr>
      </w:pPr>
    </w:p>
    <w:tbl>
      <w:tblPr/>
      <w:tblGrid>
        <w:gridCol w:w="6615"/>
        <w:gridCol w:w="3025"/>
      </w:tblGrid>
      <w:tr>
        <w:trPr>
          <w:trHeight w:val="27"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rFonts w:ascii="Calibri" w:hAnsi="Calibri" w:cs="Calibri" w:eastAsia="Calibri"/>
                <w:color w:val="auto"/>
                <w:spacing w:val="0"/>
                <w:position w:val="0"/>
                <w:sz w:val="22"/>
                <w:shd w:fill="auto" w:val="clear"/>
              </w:rPr>
            </w:pPr>
          </w:p>
        </w:tc>
      </w:tr>
      <w:tr>
        <w:trPr>
          <w:trHeight w:val="4139"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2" w:leader="none"/>
              </w:tabs>
              <w:spacing w:before="0" w:after="204"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Édité le :</w:t>
              <w:tab/>
              <w:t xml:space="preserve">16/05/2022</w:t>
              <w:tab/>
              <w:t xml:space="preserve">Menthe chocolat 10%</w:t>
            </w:r>
          </w:p>
          <w:p>
            <w:pPr>
              <w:spacing w:before="0" w:after="701" w:line="259"/>
              <w:ind w:right="0" w:left="56"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Pas de données à ce jour.</w:t>
            </w:r>
          </w:p>
          <w:p>
            <w:pPr>
              <w:spacing w:before="0" w:after="542" w:line="427"/>
              <w:ind w:right="973" w:left="56" w:firstLine="737"/>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73D48"/>
                <w:spacing w:val="0"/>
                <w:position w:val="0"/>
                <w:sz w:val="20"/>
                <w:shd w:fill="auto" w:val="clear"/>
              </w:rPr>
              <w:t xml:space="preserve">12.7. Autres effets néfastes Pas de données à ce jour.</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shd w:fill="auto" w:val="clear"/>
              </w:rPr>
            </w:pPr>
            <w:r>
              <w:rPr>
                <w:rFonts w:ascii="Arial" w:hAnsi="Arial" w:cs="Arial" w:eastAsia="Arial"/>
                <w:color w:val="073D48"/>
                <w:spacing w:val="0"/>
                <w:position w:val="0"/>
                <w:sz w:val="16"/>
                <w:shd w:fill="auto" w:val="clear"/>
              </w:rPr>
              <w:t xml:space="preserve">Révision : 001NEW-1-CLP du 16/05/2022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73D48"/>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 Méthodes de traitement des déchets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13.1.1 Disposition relative au produit/à l'emballage: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Liste des codes/désignations de déchets proposés conformément au CED.</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13.1.3 Evacuation des eaux usées - information pertinente:</w:t>
      </w:r>
    </w:p>
    <w:p>
      <w:pPr>
        <w:spacing w:before="0" w:after="19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rejet dans l'environnement ou le réseau d'égouts est interdit. Elles doivent être traitées comme des déchets dangereux.</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13.1.4 Autres recommandations d'élimination:</w:t>
      </w:r>
    </w:p>
    <w:p>
      <w:pPr>
        <w:spacing w:before="0" w:after="564"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1"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14.1. Numéro ONU ou numéro d’identification</w:t>
      </w:r>
    </w:p>
    <w:p>
      <w:pPr>
        <w:spacing w:before="0" w:after="6" w:line="251"/>
        <w:ind w:right="7405" w:left="-5" w:hanging="10"/>
        <w:jc w:val="both"/>
        <w:rPr>
          <w:rFonts w:ascii="Microsoft Sans Serif" w:hAnsi="Microsoft Sans Serif" w:cs="Microsoft Sans Serif" w:eastAsia="Microsoft Sans Serif"/>
          <w:color w:val="073D48"/>
          <w:spacing w:val="0"/>
          <w:position w:val="0"/>
          <w:sz w:val="17"/>
          <w:shd w:fill="auto" w:val="clear"/>
        </w:rPr>
      </w:pPr>
    </w:p>
    <w:p>
      <w:pPr>
        <w:spacing w:before="0" w:after="6" w:line="251"/>
        <w:ind w:right="7405" w:left="-5" w:hanging="10"/>
        <w:jc w:val="both"/>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6" w:line="251"/>
        <w:ind w:right="7405" w:left="-5" w:hanging="10"/>
        <w:jc w:val="both"/>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w:t>
      </w:r>
    </w:p>
    <w:p>
      <w:pPr>
        <w:spacing w:before="0" w:after="325" w:line="251"/>
        <w:ind w:right="7405" w:left="-5" w:hanging="10"/>
        <w:jc w:val="both"/>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IATA :NON REGLEMENTE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679"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14.2. Désignation officielle de transport de l'ONU</w:t>
      </w:r>
    </w:p>
    <w:p>
      <w:pPr>
        <w:spacing w:before="0" w:after="6" w:line="251"/>
        <w:ind w:right="7405" w:left="-5" w:hanging="10"/>
        <w:jc w:val="both"/>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5" w:line="251"/>
        <w:ind w:right="7405" w:left="-5" w:hanging="10"/>
        <w:jc w:val="both"/>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14.3. Classe(s) de danger pour le transport</w:t>
      </w:r>
    </w:p>
    <w:p>
      <w:pPr>
        <w:spacing w:before="0" w:after="6" w:line="251"/>
        <w:ind w:right="7405" w:left="-5" w:hanging="10"/>
        <w:jc w:val="both"/>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5" w:line="251"/>
        <w:ind w:right="7405" w:left="-5" w:hanging="10"/>
        <w:jc w:val="both"/>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4"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14.4. Groupe d’emballage</w:t>
      </w:r>
    </w:p>
    <w:p>
      <w:pPr>
        <w:spacing w:before="0" w:after="6" w:line="251"/>
        <w:ind w:right="7405" w:left="-5" w:hanging="10"/>
        <w:jc w:val="both"/>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5" w:line="251"/>
        <w:ind w:right="7405" w:left="-5" w:hanging="10"/>
        <w:jc w:val="both"/>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14.5. Dangers pour l’environnement</w:t>
      </w:r>
    </w:p>
    <w:p>
      <w:pPr>
        <w:spacing w:before="0" w:after="325" w:line="251"/>
        <w:ind w:right="7405" w:left="-5" w:hanging="10"/>
        <w:jc w:val="both"/>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 : NON REGLEMENTE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14.6. Précautions particulières à prendre par l’utilisateur</w:t>
      </w:r>
    </w:p>
    <w:p>
      <w:pPr>
        <w:spacing w:before="0" w:after="325" w:line="251"/>
        <w:ind w:right="7405" w:left="-5" w:hanging="10"/>
        <w:jc w:val="both"/>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NON CONCERNE</w:t>
      </w:r>
    </w:p>
    <w:p>
      <w:pPr>
        <w:spacing w:before="0" w:after="13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14.7. Transport maritime en vrac conformément aux instruments de l’OMI</w:t>
      </w:r>
    </w:p>
    <w:p>
      <w:pPr>
        <w:spacing w:before="0" w:after="192" w:line="251"/>
        <w:ind w:right="7405" w:left="-5" w:hanging="10"/>
        <w:jc w:val="both"/>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15: INFORMATIONS RELATIVES A LA REGLEMENTATION</w:t>
      </w:r>
    </w:p>
    <w:p>
      <w:pPr>
        <w:spacing w:before="0" w:after="157"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Autre législation de l'UE: </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67"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15.2. Évaluation de la sécurité chimique</w:t>
      </w:r>
    </w:p>
    <w:p>
      <w:pPr>
        <w:spacing w:before="0" w:after="771"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73D48"/>
          <w:spacing w:val="0"/>
          <w:position w:val="0"/>
          <w:sz w:val="20"/>
          <w:shd w:fill="auto" w:val="clear"/>
        </w:rPr>
      </w:pPr>
      <w:r>
        <w:rPr>
          <w:rFonts w:ascii="Arial" w:hAnsi="Arial" w:cs="Arial" w:eastAsia="Arial"/>
          <w:b/>
          <w:color w:val="073D48"/>
          <w:spacing w:val="0"/>
          <w:position w:val="0"/>
          <w:sz w:val="18"/>
          <w:shd w:fill="auto" w:val="clear"/>
        </w:rPr>
        <w:t xml:space="preserve">Texte intégral des phrases H citées en point 3 :</w:t>
      </w:r>
    </w:p>
    <w:p>
      <w:pPr>
        <w:tabs>
          <w:tab w:val="center" w:pos="3025" w:leader="none"/>
        </w:tabs>
        <w:spacing w:before="0" w:after="91"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H226</w:t>
        <w:tab/>
        <w:t xml:space="preserve">Liquide et vapeurs inflammables.</w:t>
      </w:r>
    </w:p>
    <w:p>
      <w:pPr>
        <w:tabs>
          <w:tab w:val="center" w:pos="2679"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H302</w:t>
        <w:tab/>
        <w:t xml:space="preserve">Nocif en cas d'ingestion.</w:t>
      </w:r>
    </w:p>
    <w:p>
      <w:pPr>
        <w:tabs>
          <w:tab w:val="center" w:pos="4947"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H304</w:t>
        <w:tab/>
        <w:t xml:space="preserve">Peut être mortel en cas d'ingestion et de pénétration dans les voies respiratoires.</w:t>
      </w:r>
    </w:p>
    <w:p>
      <w:pPr>
        <w:tabs>
          <w:tab w:val="center" w:pos="2983"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H317</w:t>
        <w:tab/>
        <w:t xml:space="preserve">Peut provoquer une allergie cutanée.</w:t>
      </w:r>
    </w:p>
    <w:p>
      <w:pPr>
        <w:tabs>
          <w:tab w:val="center" w:pos="3317" w:leader="none"/>
        </w:tabs>
        <w:spacing w:before="0" w:after="91"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H319</w:t>
        <w:tab/>
        <w:t xml:space="preserve">Provoque une sévère irritation des yeux.</w:t>
      </w:r>
    </w:p>
    <w:p>
      <w:pPr>
        <w:tabs>
          <w:tab w:val="center" w:pos="3528" w:leader="none"/>
        </w:tabs>
        <w:spacing w:before="0" w:after="88"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H400</w:t>
        <w:tab/>
        <w:t xml:space="preserve">Très toxique pour les organismes aquatiques.</w:t>
      </w:r>
    </w:p>
    <w:p>
      <w:pPr>
        <w:tabs>
          <w:tab w:val="center" w:pos="4940" w:leader="none"/>
        </w:tabs>
        <w:spacing w:before="0" w:after="105"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H412</w:t>
        <w:tab/>
        <w:t xml:space="preserve">Nocif pour les organismes aquatiques, entraîne des effets néfastes à long terme.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Abréviations et acronymes: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ADR: european Agreement concerning the international carriage of Dangerous goods by Road. CAS: Chemical Abstracts Service.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CED: Catalogue Européen des Déchets.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CEE: Communauté Economique Européenne.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CLP: Classification, Labelling, Packaging.</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EINECS: European INventory of Existing Commercial chemical Substances.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GHS: Global Harmonized System.</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IATA-DGR : International Air Transport Association - Dangerous Goods Regulations.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IBC: International Code for the Construction and Equipment of Ships Carrying Dangerous Chemicals in Bulk.</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ICAO-TI: International Civil Aviation Organization - Technical Instructions.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IMDG : International Maritime Dangerous Goods.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OMI: Organisation Maritime Internationale.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ONU: Organisation des Nations Unies.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PBT: Persistent, Bioaccumulative, Toxic.</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REACH: Registration, Evaluation, Authorisation and Restriction of CHemicals.</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UE: Union Européenne. vPvB: very Persistent, very Bioaccumulative.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p>
      <w:pPr>
        <w:spacing w:before="0" w:after="3" w:line="265"/>
        <w:ind w:right="67"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Liste des points modifiés : 3.2 9.1</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86">
    <w:abstractNumId w:val="12"/>
  </w:num>
  <w:num w:numId="197">
    <w:abstractNumId w:val="6"/>
  </w:num>
  <w:num w:numId="20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