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1 : IDENTIFICATION DU MÉLANGE ET DE LA SOCIÉTÉ</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1.1 Identificateur de produit</w:t>
      </w:r>
    </w:p>
    <w:tbl>
      <w:tblPr/>
      <w:tblGrid>
        <w:gridCol w:w="5228"/>
        <w:gridCol w:w="5228"/>
      </w:tblGrid>
      <w:tr>
        <w:trPr>
          <w:trHeight w:val="330" w:hRule="auto"/>
          <w:jc w:val="left"/>
        </w:trPr>
        <w:tc>
          <w:tcPr>
            <w:tcW w:w="52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120" w:line="244"/>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Forme du produit</w:t>
            </w:r>
          </w:p>
        </w:tc>
        <w:tc>
          <w:tcPr>
            <w:tcW w:w="52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120" w:line="244"/>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Mélange</w:t>
            </w:r>
          </w:p>
        </w:tc>
      </w:tr>
      <w:tr>
        <w:trPr>
          <w:trHeight w:val="1" w:hRule="atLeast"/>
          <w:jc w:val="left"/>
        </w:trPr>
        <w:tc>
          <w:tcPr>
            <w:tcW w:w="52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120" w:line="244"/>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 du produit</w:t>
            </w:r>
          </w:p>
        </w:tc>
        <w:tc>
          <w:tcPr>
            <w:tcW w:w="52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120" w:line="244"/>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monoi coco 10%</w:t>
            </w:r>
          </w:p>
        </w:tc>
      </w:tr>
    </w:tbl>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1.2 Utilisations identifiées pertinentes du mélange et utilisations déconseillées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Utilisations conseillées : Bougie parfumante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Utilisations déconseillées : Pas d’informations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1.3 Renseignements concernant le fournisseur de la fiche de données de sécurité</w:t>
      </w:r>
    </w:p>
    <w:p>
      <w:pPr>
        <w:suppressAutoHyphens w:val="true"/>
        <w:spacing w:before="120" w:after="120" w:line="240"/>
        <w:ind w:right="0" w:left="0" w:firstLine="0"/>
        <w:jc w:val="left"/>
        <w:rPr>
          <w:rFonts w:ascii="SimSun" w:hAnsi="SimSun" w:cs="SimSun" w:eastAsia="SimSun"/>
          <w:color w:val="auto"/>
          <w:spacing w:val="0"/>
          <w:position w:val="0"/>
          <w:sz w:val="24"/>
          <w:shd w:fill="auto" w:val="clear"/>
        </w:rPr>
      </w:pPr>
      <w:r>
        <w:rPr>
          <w:rFonts w:ascii="SimSun" w:hAnsi="SimSun" w:cs="SimSun" w:eastAsia="SimSun"/>
          <w:color w:val="auto"/>
          <w:spacing w:val="0"/>
          <w:position w:val="0"/>
          <w:sz w:val="24"/>
          <w:shd w:fill="auto" w:val="clear"/>
        </w:rPr>
        <w:t xml:space="preserve">&lt;</w:t>
      </w:r>
    </w:p>
    <w:p>
      <w:pPr>
        <w:suppressAutoHyphens w:val="true"/>
        <w:spacing w:before="120" w:after="120" w:line="240"/>
        <w:ind w:right="0" w:left="0" w:firstLine="0"/>
        <w:jc w:val="left"/>
        <w:rPr>
          <w:rFonts w:ascii="SimSun" w:hAnsi="SimSun" w:cs="SimSun" w:eastAsia="SimSun"/>
          <w:color w:val="auto"/>
          <w:spacing w:val="0"/>
          <w:position w:val="0"/>
          <w:sz w:val="24"/>
          <w:shd w:fill="auto" w:val="clear"/>
        </w:rPr>
      </w:pPr>
    </w:p>
    <w:p>
      <w:pPr>
        <w:suppressAutoHyphens w:val="true"/>
        <w:spacing w:before="120" w:after="120" w:line="240"/>
        <w:ind w:right="0" w:left="0" w:firstLine="0"/>
        <w:jc w:val="left"/>
        <w:rPr>
          <w:rFonts w:ascii="SimSun" w:hAnsi="SimSun" w:cs="SimSun" w:eastAsia="SimSun"/>
          <w:color w:val="auto"/>
          <w:spacing w:val="0"/>
          <w:position w:val="0"/>
          <w:sz w:val="24"/>
          <w:shd w:fill="auto" w:val="clear"/>
        </w:rPr>
      </w:pPr>
    </w:p>
    <w:p>
      <w:pPr>
        <w:suppressAutoHyphens w:val="true"/>
        <w:spacing w:before="120" w:after="120" w:line="240"/>
        <w:ind w:right="0" w:left="0" w:firstLine="0"/>
        <w:jc w:val="left"/>
        <w:rPr>
          <w:rFonts w:ascii="SimSun" w:hAnsi="SimSun" w:cs="SimSun" w:eastAsia="SimSun"/>
          <w:color w:val="auto"/>
          <w:spacing w:val="0"/>
          <w:position w:val="0"/>
          <w:sz w:val="24"/>
          <w:shd w:fill="auto" w:val="clear"/>
        </w:rPr>
      </w:pP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1.4 Numéro d’appel d’urgence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Numéro d'urgence ORFILA : 01 45 42 59 59 (7j/7, 24h/24)</w:t>
      </w: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2 : IDENTIFICATION DES DANGERS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2.1 Classification de la substance ou du mélange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produit est considéré comme un mélange. Classification selon les critères du règlement CE 1272/2008.</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classé</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2.2 Éléments d’étiquetage</w:t>
      </w:r>
    </w:p>
    <w:tbl>
      <w:tblPr/>
      <w:tblGrid>
        <w:gridCol w:w="2694"/>
        <w:gridCol w:w="283"/>
        <w:gridCol w:w="7796"/>
      </w:tblGrid>
      <w:tr>
        <w:trPr>
          <w:trHeight w:val="1" w:hRule="atLeast"/>
          <w:jc w:val="left"/>
          <w:cantSplit w:val="1"/>
        </w:trPr>
        <w:tc>
          <w:tcPr>
            <w:tcW w:w="269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Contient</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79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uppressAutoHyphens w:val="true"/>
              <w:spacing w:before="0" w:after="160" w:line="244"/>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Coumarin</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shd w:fill="auto" w:val="clear"/>
              </w:rPr>
              <w:t xml:space="preserve">3-p-Cumenyl-2-methylpropionaldehyde</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shd w:fill="auto" w:val="clear"/>
              </w:rPr>
              <w:t xml:space="preserve">1,3-Benzodioxole-5-carboxaldehyde. Peut produire une réaction allergique.</w:t>
            </w:r>
          </w:p>
        </w:tc>
      </w:tr>
      <w:tr>
        <w:trPr>
          <w:trHeight w:val="1" w:hRule="atLeast"/>
          <w:jc w:val="left"/>
          <w:cantSplit w:val="1"/>
        </w:trPr>
        <w:tc>
          <w:tcPr>
            <w:tcW w:w="269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Conseils de prudence (CLP)</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79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0" w:line="288"/>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P102 - Tenir hors de portée des enfants.</w:t>
            </w:r>
          </w:p>
        </w:tc>
      </w:tr>
    </w:tbl>
    <w:p>
      <w:pPr>
        <w:spacing w:before="0" w:after="160" w:line="244"/>
        <w:ind w:right="0" w:left="0" w:firstLine="0"/>
        <w:jc w:val="left"/>
        <w:rPr>
          <w:rFonts w:ascii="Calibri" w:hAnsi="Calibri" w:cs="Calibri" w:eastAsia="Calibri"/>
          <w:color w:val="000000"/>
          <w:spacing w:val="0"/>
          <w:position w:val="0"/>
          <w:sz w:val="22"/>
          <w:shd w:fill="auto" w:val="clear"/>
        </w:rPr>
      </w:pP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2.3 Autres dangers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contient pas de substances PBT/vPvB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0,1 % évaluées conformément à l’annexe XIII du règlement REACH</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3 : COMPOSITION/INFORMATIONS SUR LES COMPOSANTS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3.1 Substances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applicable</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3.2 Mélanges</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p>
    <w:tbl>
      <w:tblPr/>
      <w:tblGrid>
        <w:gridCol w:w="3970"/>
        <w:gridCol w:w="2271"/>
        <w:gridCol w:w="1133"/>
        <w:gridCol w:w="3120"/>
      </w:tblGrid>
      <w:tr>
        <w:trPr>
          <w:trHeight w:val="618" w:hRule="auto"/>
          <w:jc w:val="left"/>
        </w:trPr>
        <w:tc>
          <w:tcPr>
            <w:tcW w:w="3970" w:type="dxa"/>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47" w:after="0" w:line="240"/>
              <w:ind w:right="0" w:left="57" w:firstLine="0"/>
              <w:jc w:val="left"/>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2271" w:type="dxa"/>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47" w:after="0" w:line="240"/>
              <w:ind w:right="0" w:left="58" w:firstLine="0"/>
              <w:jc w:val="left"/>
              <w:rPr>
                <w:position w:val="0"/>
                <w:shd w:fill="auto" w:val="clear"/>
              </w:rPr>
            </w:pPr>
            <w:r>
              <w:rPr>
                <w:rFonts w:ascii="Arial" w:hAnsi="Arial" w:cs="Arial" w:eastAsia="Arial"/>
                <w:b/>
                <w:color w:val="0070C0"/>
                <w:spacing w:val="0"/>
                <w:position w:val="0"/>
                <w:sz w:val="18"/>
                <w:shd w:fill="auto" w:val="clear"/>
              </w:rPr>
              <w:t xml:space="preserve">Identificateur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produit</w:t>
            </w:r>
          </w:p>
        </w:tc>
        <w:tc>
          <w:tcPr>
            <w:tcW w:w="1133" w:type="dxa"/>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47" w:after="0" w:line="240"/>
              <w:ind w:right="0" w:left="57" w:firstLine="0"/>
              <w:jc w:val="left"/>
              <w:rPr>
                <w:spacing w:val="0"/>
                <w:position w:val="0"/>
                <w:shd w:fill="auto" w:val="clear"/>
              </w:rPr>
            </w:pPr>
            <w:r>
              <w:rPr>
                <w:rFonts w:ascii="Arial" w:hAnsi="Arial" w:cs="Arial" w:eastAsia="Arial"/>
                <w:b/>
                <w:color w:val="0070C0"/>
                <w:spacing w:val="0"/>
                <w:position w:val="0"/>
                <w:sz w:val="18"/>
                <w:shd w:fill="auto" w:val="clear"/>
              </w:rPr>
              <w:t xml:space="preserve">%</w:t>
            </w:r>
          </w:p>
        </w:tc>
        <w:tc>
          <w:tcPr>
            <w:tcW w:w="3120" w:type="dxa"/>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47" w:after="0" w:line="261"/>
              <w:ind w:right="232" w:left="57" w:firstLine="0"/>
              <w:jc w:val="left"/>
              <w:rPr>
                <w:position w:val="0"/>
                <w:shd w:fill="auto" w:val="clear"/>
              </w:rPr>
            </w:pPr>
            <w:r>
              <w:rPr>
                <w:rFonts w:ascii="Arial" w:hAnsi="Arial" w:cs="Arial" w:eastAsia="Arial"/>
                <w:b/>
                <w:color w:val="0070C0"/>
                <w:spacing w:val="0"/>
                <w:position w:val="0"/>
                <w:sz w:val="18"/>
                <w:shd w:fill="auto" w:val="clear"/>
              </w:rPr>
              <w:t xml:space="preserve">Classification selon le règlement</w:t>
            </w:r>
            <w:r>
              <w:rPr>
                <w:rFonts w:ascii="Arial" w:hAnsi="Arial" w:cs="Arial" w:eastAsia="Arial"/>
                <w:b/>
                <w:color w:val="0070C0"/>
                <w:spacing w:val="-47"/>
                <w:position w:val="0"/>
                <w:sz w:val="18"/>
                <w:shd w:fill="auto" w:val="clear"/>
              </w:rPr>
              <w:t xml:space="preserve"> </w:t>
            </w:r>
            <w:r>
              <w:rPr>
                <w:rFonts w:ascii="Arial" w:hAnsi="Arial" w:cs="Arial" w:eastAsia="Arial"/>
                <w:b/>
                <w:color w:val="0070C0"/>
                <w:spacing w:val="0"/>
                <w:position w:val="0"/>
                <w:sz w:val="18"/>
                <w:shd w:fill="auto" w:val="clear"/>
              </w:rPr>
              <w:t xml:space="preserve">(CE)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1272/2008</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[CLP]</w:t>
            </w:r>
          </w:p>
        </w:tc>
      </w:tr>
      <w:tr>
        <w:trPr>
          <w:trHeight w:val="1050" w:hRule="auto"/>
          <w:jc w:val="left"/>
        </w:trPr>
        <w:tc>
          <w:tcPr>
            <w:tcW w:w="3970" w:type="dxa"/>
            <w:tcBorders>
              <w:top w:val="single" w:color="0070c0" w:sz="4"/>
              <w:left w:val="single" w:color="0070c0" w:sz="4"/>
              <w:bottom w:val="single" w:color="000000" w:sz="4"/>
              <w:right w:val="single" w:color="0070c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Coumarin</w:t>
            </w:r>
          </w:p>
        </w:tc>
        <w:tc>
          <w:tcPr>
            <w:tcW w:w="2271" w:type="dxa"/>
            <w:tcBorders>
              <w:top w:val="single" w:color="0070c0" w:sz="4"/>
              <w:left w:val="single" w:color="0070c0" w:sz="4"/>
              <w:bottom w:val="single" w:color="000000" w:sz="4"/>
              <w:right w:val="single" w:color="0070c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CAS: 91-64-5</w:t>
            </w:r>
          </w:p>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CE: 202-086-7</w:t>
            </w:r>
          </w:p>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REACH: 01-</w:t>
            </w:r>
          </w:p>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211994375626</w:t>
            </w:r>
          </w:p>
        </w:tc>
        <w:tc>
          <w:tcPr>
            <w:tcW w:w="1133" w:type="dxa"/>
            <w:tcBorders>
              <w:top w:val="single" w:color="0070c0" w:sz="4"/>
              <w:left w:val="single" w:color="0070c0" w:sz="4"/>
              <w:bottom w:val="single" w:color="000000" w:sz="4"/>
              <w:right w:val="single" w:color="0070c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w:t>
            </w:r>
          </w:p>
        </w:tc>
        <w:tc>
          <w:tcPr>
            <w:tcW w:w="3120" w:type="dxa"/>
            <w:tcBorders>
              <w:top w:val="single" w:color="0070c0" w:sz="4"/>
              <w:left w:val="single" w:color="0070c0" w:sz="4"/>
              <w:bottom w:val="single" w:color="000000" w:sz="4"/>
              <w:right w:val="single" w:color="0070c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Acute Tox. 4 (par voie orale), H302 (ATE=500 mg/kg de poids corporel) Skin Sens. 1B, H317</w:t>
            </w:r>
          </w:p>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Aquatic Chronic 3, H412</w:t>
            </w:r>
          </w:p>
        </w:tc>
      </w:tr>
      <w:tr>
        <w:trPr>
          <w:trHeight w:val="1050" w:hRule="auto"/>
          <w:jc w:val="left"/>
        </w:trPr>
        <w:tc>
          <w:tcPr>
            <w:tcW w:w="39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3-p-Cumenyl-2-methylpropionaldehyde</w:t>
            </w:r>
          </w:p>
        </w:tc>
        <w:tc>
          <w:tcPr>
            <w:tcW w:w="22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CAS: 103-95-7</w:t>
            </w:r>
          </w:p>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CE: 203-161-7</w:t>
            </w:r>
          </w:p>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REACH: 01-</w:t>
            </w:r>
          </w:p>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211997058232</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w:t>
            </w:r>
          </w:p>
        </w:tc>
        <w:tc>
          <w:tcPr>
            <w:tcW w:w="31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Skin Irrit. 2, H315 Aquatic Chronic 3, H412 Skin Sens. 1B, H317</w:t>
            </w:r>
          </w:p>
        </w:tc>
      </w:tr>
      <w:tr>
        <w:trPr>
          <w:trHeight w:val="1055" w:hRule="auto"/>
          <w:jc w:val="left"/>
        </w:trPr>
        <w:tc>
          <w:tcPr>
            <w:tcW w:w="39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1,3-Benzodioxole-5-carboxaldehyde</w:t>
            </w:r>
          </w:p>
        </w:tc>
        <w:tc>
          <w:tcPr>
            <w:tcW w:w="22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CAS: 120-57-0</w:t>
            </w:r>
          </w:p>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CE: 204-409-7</w:t>
            </w:r>
          </w:p>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REACH: 01-</w:t>
            </w:r>
          </w:p>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211998360821</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w:t>
            </w:r>
          </w:p>
        </w:tc>
        <w:tc>
          <w:tcPr>
            <w:tcW w:w="31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uppressAutoHyphens w:val="true"/>
              <w:spacing w:before="120" w:after="12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Skin Sens. 1B, H317</w:t>
            </w:r>
          </w:p>
        </w:tc>
      </w:tr>
    </w:tbl>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4 : Premiers secours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4.1. Description des premiers secours</w:t>
      </w:r>
    </w:p>
    <w:p>
      <w:pPr>
        <w:spacing w:before="13" w:after="0" w:line="240"/>
        <w:ind w:right="0" w:left="1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générale : Dans tous les cas d'intoxication potentielle, un suivi médical est fortement recommandé.</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1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avec la peau : Retirer les vêtements souillés et ne les réutiliser qu'après décontamination.</w:t>
      </w:r>
    </w:p>
    <w:p>
      <w:pPr>
        <w:spacing w:before="13" w:after="0" w:line="254"/>
        <w:ind w:right="3217" w:left="1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Laver immédiatement et abondamment avec de l'eau et du savon. Rincer ensuite à l'eau claire. En cas d'irritations cutanées persistantes, consulter un médecin.</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54"/>
        <w:ind w:right="1225" w:left="1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avec les yeux : Rinçage abondant à l'eau pendant 15 minutes les paupières ouvertes puis lavage avec une lotion oculaire type Dacryosérum. Consulter un ophtalmologue en cas de trouble de la vision.</w:t>
      </w:r>
    </w:p>
    <w:p>
      <w:pPr>
        <w:spacing w:before="3"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cas d'ingestion : Se rincer la bouche avec l'eau. Ne pas provoquer de vomissements. Consulter un médecin.</w:t>
      </w:r>
    </w:p>
    <w:p>
      <w:pPr>
        <w:spacing w:before="3"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cas d'inhalation : Retirer la personne affectée de la zone d'exposition et la placer à l'air frais. Demander dessoins médicaux si les symptômes s'aggravent.</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4.2. Principaux symptômes et effets, aigus et différés</w:t>
      </w:r>
    </w:p>
    <w:p>
      <w:pPr>
        <w:spacing w:before="119" w:after="0" w:line="276"/>
        <w:ind w:right="0" w:left="1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Symptômes/effets après inhalation : Bien que l’on ne dispose d’aucune donnée relative à une éventuelle toxicité pour l’homme et les animaux, le produit est considéré comme dangereux à l’inhalation.</w:t>
      </w:r>
    </w:p>
    <w:p>
      <w:pPr>
        <w:tabs>
          <w:tab w:val="left" w:pos="3926" w:leader="none"/>
        </w:tabs>
        <w:spacing w:before="37" w:after="0" w:line="276"/>
        <w:ind w:right="129" w:left="1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Symptômes/effets après contact avec la peau</w:t>
        <w:tab/>
        <w:t xml:space="preserve">: Peut provoquer une allergie cutanée.</w:t>
      </w:r>
    </w:p>
    <w:p>
      <w:pPr>
        <w:tabs>
          <w:tab w:val="left" w:pos="3926" w:leader="none"/>
        </w:tabs>
        <w:spacing w:before="37" w:after="0" w:line="276"/>
        <w:ind w:right="129" w:left="1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Symptômes/effets après contact oculaire</w:t>
        <w:tab/>
        <w:t xml:space="preserve">: Aucun(es) dans des conditions normales.</w:t>
      </w:r>
    </w:p>
    <w:p>
      <w:pPr>
        <w:tabs>
          <w:tab w:val="left" w:pos="3926" w:leader="none"/>
        </w:tabs>
        <w:spacing w:before="1" w:after="0" w:line="276"/>
        <w:ind w:right="0" w:left="1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Symptômes/effets après ingestion</w:t>
        <w:tab/>
        <w:t xml:space="preserve">: Aucun(es) dans des conditions normales.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5"/>
          <w:position w:val="0"/>
          <w:sz w:val="22"/>
          <w:shd w:fill="auto" w:val="clear"/>
        </w:rPr>
        <w:t xml:space="preserve"> </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4.3. Indication des éventuels soins médicaux immédiats et traitements particuliers nécessaires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Traitement symptomatique.</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5 : Mesures de lutte contre l’incendie</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5.1. Moyens d’extinction</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Moyens d’extinction appropriés : Eau pulvérisée. Poudre sèche. Mousse. Dioxyde de carbone.</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5.2. Dangers particuliers résultant de la substance ou du mélange</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Produits de décomposition dangereux en cas d’incendie : Dégagement possible de fumées toxiques.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5.3. Conseils aux pompiers</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Protection en cas d’incendie : Ne pas intervenir sans un équipement de protection adapté. Appareil de protection respiratoire autonome isolant. Protection complète du corps.</w:t>
      </w: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6 : Mesures à prendre en cas de déversement accidentel</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6.1. Précautions individuelles, équipement de protection et procédures d’urgence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Récupérer le maximum de produit et le stocker dans des récipients hermétiques.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Assurer une aération suffisante.</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6.2. Précautions pour la protection de l’environnement</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Eviter le rejet à l’égout, ne pas laisser s’écouler les résidus de cire dans les eaux courantes.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6.3. Méthodes et matériel de confinement et de nettoyage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Récupérer le maximum de produit et le stocker dans des récipients hermétiques.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6.4. Référence à d'autres rubriques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Voir rubrique 13</w:t>
      </w: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7 : Manipulation et stockage</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7.1. Précautions à prendre pour une manipulation sans danger</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Maintenir les lieux propres et ordonnés. Se laver les mains après utilisation, ne pas manger boire et fumer durant l’utilisation.</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7.2. Conditions nécessaires pour assurer la sécurité du stockage, tenant compte d’éventuelles incompatibilités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Température de stockage minimale conseillée : 5°C</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Température de stockage maximale conseillée : 35°C</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Condition de stockage : Conserver uniquement dans le récipient d’origine dans un endroit frais et bien ventilé. Garder les conteneurs fermés en dehors de leur utilisation.</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Produits incompatibles : Bases fortes et acides forts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Matières incompatibles : Source d’inflammation. Rayons directs du soleil.</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Durée de stockage maximale : 12 mois.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7.3. Utilisation(s) finale(s) particulière(s)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 d’informations complémentaires disponibles.</w:t>
      </w: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8 : Contrôles de l’exposition/Protection individuelle</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8.1. Paramètres de contrôle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 d’informations complémentaires disponibles.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8.2. Contrôles de l’exposition</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Equipements de protection individuelle : Eviter toute exposition inutile.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Autres informations : Ne pas manger, ne pas boire et ne pas fumer pendant l’utilisation.</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9 : Propriétés physiques et chimiques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9.1. Informations sur les propriétés physiques et chimiques essentielles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État physique : solide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Couleur : Blanchâtre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Odeur : Caractéristique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 de fusion/point de congélation : 50°C</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 d’ébullition ou point initial d’ébullition et intervalle d’ébullition : aucune donnée disponible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Inflammabilité : aucune donnée disponible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 d’éclair : 200°C</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Température d’auto-inflammation : aucune donnée disponible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 : aucune donnée disponible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Viscosité cinématique : aucune donnée disponible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Solubilité : non soluble</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9.2. Autres informations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 d’informations complémentaires disponibles.</w:t>
      </w: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10 : Stabilité et réactivité</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10.1. Réactivité</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Le produit n’est pas réactif dans les conditions normales d’utilisation, de stockage et de transport.</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10.2. Stabilité chimique</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Stable dans les conditions normales.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10.3. Possibilité de réactions dangereuses</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Pas de réaction dangereuse connue dans les conditions normales d’emploi.</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10.4. Conditions à éviter</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Aucune dans des conditions de stockage et de manipulation recommandées (voir rubrique 7).</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10.5. Matières incompatibles</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Pas d’informations complémentaires disponibles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10.6. Produits de décomposition dangereux</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Aucun produit de décomposition dangereux ne devrait être généré dans les conditions normales de stockage et d’emploi.</w:t>
      </w: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11 : Informations toxicologiques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11.1. Informations sur les effets toxicologiques</w:t>
      </w:r>
    </w:p>
    <w:p>
      <w:pPr>
        <w:tabs>
          <w:tab w:val="left" w:pos="3926" w:leader="none"/>
        </w:tabs>
        <w:spacing w:before="0" w:after="0" w:line="276"/>
        <w:ind w:right="0" w:left="1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Toxicité aiguë (orale)</w:t>
        <w:tab/>
        <w:t xml:space="preserve">: Non classé</w:t>
      </w:r>
    </w:p>
    <w:p>
      <w:pPr>
        <w:tabs>
          <w:tab w:val="left" w:pos="3926" w:leader="none"/>
        </w:tabs>
        <w:spacing w:before="17" w:after="0" w:line="276"/>
        <w:ind w:right="0" w:left="1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Toxicité aiguë (cutanée)</w:t>
        <w:tab/>
        <w:t xml:space="preserve">: Non classé</w:t>
      </w:r>
    </w:p>
    <w:p>
      <w:pPr>
        <w:tabs>
          <w:tab w:val="left" w:pos="3926" w:leader="none"/>
        </w:tabs>
        <w:spacing w:before="37" w:after="0" w:line="276"/>
        <w:ind w:right="0" w:left="1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Toxicité aiguë (Inhalation)</w:t>
        <w:tab/>
        <w:t xml:space="preserve">: Non classé</w:t>
      </w:r>
    </w:p>
    <w:tbl>
      <w:tblPr>
        <w:tblInd w:w="134" w:type="dxa"/>
      </w:tblPr>
      <w:tblGrid>
        <w:gridCol w:w="3970"/>
        <w:gridCol w:w="6524"/>
      </w:tblGrid>
      <w:tr>
        <w:trPr>
          <w:trHeight w:val="369" w:hRule="auto"/>
          <w:jc w:val="left"/>
        </w:trPr>
        <w:tc>
          <w:tcPr>
            <w:tcW w:w="10494" w:type="dxa"/>
            <w:gridSpan w:val="2"/>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47" w:after="0" w:line="240"/>
              <w:ind w:right="0" w:left="60" w:firstLine="0"/>
              <w:jc w:val="left"/>
              <w:rPr>
                <w:position w:val="0"/>
                <w:shd w:fill="auto" w:val="clear"/>
              </w:rPr>
            </w:pPr>
            <w:r>
              <w:rPr>
                <w:rFonts w:ascii="Arial" w:hAnsi="Arial" w:cs="Arial" w:eastAsia="Arial"/>
                <w:b/>
                <w:color w:val="0070C0"/>
                <w:spacing w:val="0"/>
                <w:position w:val="0"/>
                <w:sz w:val="18"/>
                <w:shd w:fill="auto" w:val="clear"/>
              </w:rPr>
              <w:t xml:space="preserve">1,3-Benzodioxole-5-carboxaldehyde</w:t>
            </w:r>
            <w:r>
              <w:rPr>
                <w:rFonts w:ascii="Arial" w:hAnsi="Arial" w:cs="Arial" w:eastAsia="Arial"/>
                <w:b/>
                <w:color w:val="0070C0"/>
                <w:spacing w:val="-11"/>
                <w:position w:val="0"/>
                <w:sz w:val="18"/>
                <w:shd w:fill="auto" w:val="clear"/>
              </w:rPr>
              <w:t xml:space="preserve"> </w:t>
            </w:r>
            <w:r>
              <w:rPr>
                <w:rFonts w:ascii="Arial" w:hAnsi="Arial" w:cs="Arial" w:eastAsia="Arial"/>
                <w:b/>
                <w:color w:val="0070C0"/>
                <w:spacing w:val="0"/>
                <w:position w:val="0"/>
                <w:sz w:val="18"/>
                <w:shd w:fill="auto" w:val="clear"/>
              </w:rPr>
              <w:t xml:space="preserve">(120-57-0)</w:t>
            </w:r>
          </w:p>
        </w:tc>
      </w:tr>
      <w:tr>
        <w:trPr>
          <w:trHeight w:val="407" w:hRule="auto"/>
          <w:jc w:val="left"/>
        </w:trPr>
        <w:tc>
          <w:tcPr>
            <w:tcW w:w="3970"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37" w:after="0" w:line="240"/>
              <w:ind w:right="0" w:left="60"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DL50</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orale</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rat</w:t>
            </w:r>
          </w:p>
        </w:tc>
        <w:tc>
          <w:tcPr>
            <w:tcW w:w="652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37" w:after="0" w:line="240"/>
              <w:ind w:right="0" w:left="62"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2700</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mg/kg</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Source:</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NLM</w:t>
            </w:r>
          </w:p>
        </w:tc>
      </w:tr>
      <w:tr>
        <w:trPr>
          <w:trHeight w:val="388" w:hRule="auto"/>
          <w:jc w:val="left"/>
        </w:trPr>
        <w:tc>
          <w:tcPr>
            <w:tcW w:w="3970"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37" w:after="0" w:line="240"/>
              <w:ind w:right="0" w:left="60"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DL50</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orale</w:t>
            </w:r>
          </w:p>
        </w:tc>
        <w:tc>
          <w:tcPr>
            <w:tcW w:w="652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37" w:after="0" w:line="240"/>
              <w:ind w:right="0" w:left="62"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2700</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mg/kg</w:t>
            </w:r>
          </w:p>
        </w:tc>
      </w:tr>
      <w:tr>
        <w:trPr>
          <w:trHeight w:val="421" w:hRule="auto"/>
          <w:jc w:val="left"/>
        </w:trPr>
        <w:tc>
          <w:tcPr>
            <w:tcW w:w="3970" w:type="dxa"/>
            <w:tcBorders>
              <w:top w:val="single" w:color="0070c0" w:sz="4"/>
              <w:left w:val="single" w:color="0070c0" w:sz="4"/>
              <w:bottom w:val="single" w:color="0070c0" w:sz="0"/>
              <w:right w:val="single" w:color="0070c0" w:sz="4"/>
            </w:tcBorders>
            <w:shd w:color="000000" w:fill="ffffff" w:val="clear"/>
            <w:tcMar>
              <w:left w:w="0" w:type="dxa"/>
              <w:right w:w="0" w:type="dxa"/>
            </w:tcMar>
            <w:vAlign w:val="top"/>
          </w:tcPr>
          <w:p>
            <w:pPr>
              <w:spacing w:before="37" w:after="0" w:line="240"/>
              <w:ind w:right="0" w:left="60"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DL50</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cutanée</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rat</w:t>
            </w:r>
          </w:p>
        </w:tc>
        <w:tc>
          <w:tcPr>
            <w:tcW w:w="6524" w:type="dxa"/>
            <w:tcBorders>
              <w:top w:val="single" w:color="0070c0" w:sz="4"/>
              <w:left w:val="single" w:color="0070c0" w:sz="4"/>
              <w:bottom w:val="single" w:color="0070c0" w:sz="0"/>
              <w:right w:val="single" w:color="0070c0" w:sz="4"/>
            </w:tcBorders>
            <w:shd w:color="000000" w:fill="ffffff" w:val="clear"/>
            <w:tcMar>
              <w:left w:w="0" w:type="dxa"/>
              <w:right w:w="0" w:type="dxa"/>
            </w:tcMar>
            <w:vAlign w:val="top"/>
          </w:tcPr>
          <w:p>
            <w:pPr>
              <w:spacing w:before="37" w:after="0" w:line="240"/>
              <w:ind w:right="0" w:left="62"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&gt;</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5</w:t>
            </w:r>
            <w:r>
              <w:rPr>
                <w:rFonts w:ascii="Arial MT" w:hAnsi="Arial MT" w:cs="Arial MT" w:eastAsia="Arial MT"/>
                <w:color w:val="auto"/>
                <w:spacing w:val="-2"/>
                <w:position w:val="0"/>
                <w:sz w:val="16"/>
                <w:shd w:fill="auto" w:val="clear"/>
              </w:rPr>
              <w:t xml:space="preserve"> </w:t>
            </w:r>
            <w:r>
              <w:rPr>
                <w:rFonts w:ascii="Arial MT" w:hAnsi="Arial MT" w:cs="Arial MT" w:eastAsia="Arial MT"/>
                <w:color w:val="auto"/>
                <w:spacing w:val="0"/>
                <w:position w:val="0"/>
                <w:sz w:val="16"/>
                <w:shd w:fill="auto" w:val="clear"/>
              </w:rPr>
              <w:t xml:space="preserve">mg/kg</w:t>
            </w:r>
            <w:r>
              <w:rPr>
                <w:rFonts w:ascii="Arial MT" w:hAnsi="Arial MT" w:cs="Arial MT" w:eastAsia="Arial MT"/>
                <w:color w:val="auto"/>
                <w:spacing w:val="-2"/>
                <w:position w:val="0"/>
                <w:sz w:val="16"/>
                <w:shd w:fill="auto" w:val="clear"/>
              </w:rPr>
              <w:t xml:space="preserve"> </w:t>
            </w:r>
            <w:r>
              <w:rPr>
                <w:rFonts w:ascii="Arial MT" w:hAnsi="Arial MT" w:cs="Arial MT" w:eastAsia="Arial MT"/>
                <w:color w:val="auto"/>
                <w:spacing w:val="0"/>
                <w:position w:val="0"/>
                <w:sz w:val="16"/>
                <w:shd w:fill="auto" w:val="clear"/>
              </w:rPr>
              <w:t xml:space="preserve">Source:</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NLM</w:t>
            </w:r>
          </w:p>
        </w:tc>
      </w:tr>
      <w:tr>
        <w:trPr>
          <w:trHeight w:val="387" w:hRule="auto"/>
          <w:jc w:val="left"/>
        </w:trPr>
        <w:tc>
          <w:tcPr>
            <w:tcW w:w="10494" w:type="dxa"/>
            <w:gridSpan w:val="2"/>
            <w:tcBorders>
              <w:top w:val="single" w:color="0070c0" w:sz="0"/>
              <w:left w:val="single" w:color="0070c0" w:sz="4"/>
              <w:bottom w:val="single" w:color="0070c0" w:sz="4"/>
              <w:right w:val="single" w:color="0070c0" w:sz="4"/>
            </w:tcBorders>
            <w:shd w:color="auto" w:fill="bdd6ee" w:val="clear"/>
            <w:tcMar>
              <w:left w:w="0" w:type="dxa"/>
              <w:right w:w="0" w:type="dxa"/>
            </w:tcMar>
            <w:vAlign w:val="top"/>
          </w:tcPr>
          <w:p>
            <w:pPr>
              <w:spacing w:before="46" w:after="0" w:line="240"/>
              <w:ind w:right="0" w:left="60" w:firstLine="0"/>
              <w:jc w:val="left"/>
              <w:rPr>
                <w:position w:val="0"/>
                <w:shd w:fill="auto" w:val="clear"/>
              </w:rPr>
            </w:pPr>
            <w:r>
              <w:rPr>
                <w:rFonts w:ascii="Arial" w:hAnsi="Arial" w:cs="Arial" w:eastAsia="Arial"/>
                <w:b/>
                <w:color w:val="0070C0"/>
                <w:spacing w:val="0"/>
                <w:position w:val="0"/>
                <w:sz w:val="18"/>
                <w:shd w:fill="auto" w:val="clear"/>
              </w:rPr>
              <w:t xml:space="preserve">3-p-Cumenyl-2-methylpropionaldehyde</w:t>
            </w:r>
            <w:r>
              <w:rPr>
                <w:rFonts w:ascii="Arial" w:hAnsi="Arial" w:cs="Arial" w:eastAsia="Arial"/>
                <w:b/>
                <w:color w:val="0070C0"/>
                <w:spacing w:val="-7"/>
                <w:position w:val="0"/>
                <w:sz w:val="18"/>
                <w:shd w:fill="auto" w:val="clear"/>
              </w:rPr>
              <w:t xml:space="preserve"> </w:t>
            </w:r>
            <w:r>
              <w:rPr>
                <w:rFonts w:ascii="Arial" w:hAnsi="Arial" w:cs="Arial" w:eastAsia="Arial"/>
                <w:b/>
                <w:color w:val="0070C0"/>
                <w:spacing w:val="0"/>
                <w:position w:val="0"/>
                <w:sz w:val="18"/>
                <w:shd w:fill="auto" w:val="clear"/>
              </w:rPr>
              <w:t xml:space="preserve">(103-</w:t>
            </w:r>
            <w:r>
              <w:rPr>
                <w:rFonts w:ascii="Arial" w:hAnsi="Arial" w:cs="Arial" w:eastAsia="Arial"/>
                <w:b/>
                <w:color w:val="0070C0"/>
                <w:spacing w:val="40"/>
                <w:position w:val="0"/>
                <w:sz w:val="18"/>
                <w:shd w:fill="auto" w:val="clear"/>
              </w:rPr>
              <w:t xml:space="preserve"> </w:t>
            </w:r>
            <w:r>
              <w:rPr>
                <w:rFonts w:ascii="Arial" w:hAnsi="Arial" w:cs="Arial" w:eastAsia="Arial"/>
                <w:b/>
                <w:color w:val="0070C0"/>
                <w:spacing w:val="0"/>
                <w:position w:val="0"/>
                <w:sz w:val="18"/>
                <w:shd w:fill="auto" w:val="clear"/>
              </w:rPr>
              <w:t xml:space="preserve">5-7)</w:t>
            </w:r>
          </w:p>
        </w:tc>
      </w:tr>
      <w:tr>
        <w:trPr>
          <w:trHeight w:val="407" w:hRule="auto"/>
          <w:jc w:val="left"/>
        </w:trPr>
        <w:tc>
          <w:tcPr>
            <w:tcW w:w="3970"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1" w:after="0" w:line="240"/>
              <w:ind w:right="0" w:left="60"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DL50</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orale</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rat</w:t>
            </w:r>
          </w:p>
        </w:tc>
        <w:tc>
          <w:tcPr>
            <w:tcW w:w="652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1" w:after="0" w:line="240"/>
              <w:ind w:right="0" w:left="62"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3810</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mg/kg</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Source:</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National</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Library</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of</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Medicine</w:t>
            </w:r>
          </w:p>
        </w:tc>
      </w:tr>
      <w:tr>
        <w:trPr>
          <w:trHeight w:val="388" w:hRule="auto"/>
          <w:jc w:val="left"/>
        </w:trPr>
        <w:tc>
          <w:tcPr>
            <w:tcW w:w="3970"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1" w:after="0" w:line="240"/>
              <w:ind w:right="0" w:left="60"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DL50</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orale</w:t>
            </w:r>
          </w:p>
        </w:tc>
        <w:tc>
          <w:tcPr>
            <w:tcW w:w="652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1" w:after="0" w:line="240"/>
              <w:ind w:right="0" w:left="62"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3810</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mg/kg</w:t>
            </w:r>
          </w:p>
        </w:tc>
      </w:tr>
      <w:tr>
        <w:trPr>
          <w:trHeight w:val="426" w:hRule="auto"/>
          <w:jc w:val="left"/>
        </w:trPr>
        <w:tc>
          <w:tcPr>
            <w:tcW w:w="3970" w:type="dxa"/>
            <w:tcBorders>
              <w:top w:val="single" w:color="0070c0" w:sz="4"/>
              <w:left w:val="single" w:color="0070c0" w:sz="4"/>
              <w:bottom w:val="single" w:color="0070c0" w:sz="0"/>
              <w:right w:val="single" w:color="0070c0" w:sz="4"/>
            </w:tcBorders>
            <w:shd w:color="000000" w:fill="ffffff" w:val="clear"/>
            <w:tcMar>
              <w:left w:w="0" w:type="dxa"/>
              <w:right w:w="0" w:type="dxa"/>
            </w:tcMar>
            <w:vAlign w:val="top"/>
          </w:tcPr>
          <w:p>
            <w:pPr>
              <w:spacing w:before="41" w:after="0" w:line="240"/>
              <w:ind w:right="0" w:left="60"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DL50</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cutanée</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rat</w:t>
            </w:r>
          </w:p>
        </w:tc>
        <w:tc>
          <w:tcPr>
            <w:tcW w:w="6524" w:type="dxa"/>
            <w:tcBorders>
              <w:top w:val="single" w:color="0070c0" w:sz="4"/>
              <w:left w:val="single" w:color="0070c0" w:sz="4"/>
              <w:bottom w:val="single" w:color="0070c0" w:sz="0"/>
              <w:right w:val="single" w:color="0070c0" w:sz="4"/>
            </w:tcBorders>
            <w:shd w:color="000000" w:fill="ffffff" w:val="clear"/>
            <w:tcMar>
              <w:left w:w="0" w:type="dxa"/>
              <w:right w:w="0" w:type="dxa"/>
            </w:tcMar>
            <w:vAlign w:val="top"/>
          </w:tcPr>
          <w:p>
            <w:pPr>
              <w:spacing w:before="41" w:after="0" w:line="240"/>
              <w:ind w:right="0" w:left="62"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&gt;</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5000</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mg/kg</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Source:</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National</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Library</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of</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Medicine</w:t>
            </w:r>
          </w:p>
        </w:tc>
      </w:tr>
      <w:tr>
        <w:trPr>
          <w:trHeight w:val="402" w:hRule="auto"/>
          <w:jc w:val="left"/>
        </w:trPr>
        <w:tc>
          <w:tcPr>
            <w:tcW w:w="10494" w:type="dxa"/>
            <w:gridSpan w:val="2"/>
            <w:tcBorders>
              <w:top w:val="single" w:color="0070c0" w:sz="0"/>
              <w:left w:val="single" w:color="0070c0" w:sz="4"/>
              <w:bottom w:val="single" w:color="0070c0" w:sz="4"/>
              <w:right w:val="single" w:color="0070c0" w:sz="4"/>
            </w:tcBorders>
            <w:shd w:color="auto" w:fill="bdd6ee" w:val="clear"/>
            <w:tcMar>
              <w:left w:w="0" w:type="dxa"/>
              <w:right w:w="0" w:type="dxa"/>
            </w:tcMar>
            <w:vAlign w:val="top"/>
          </w:tcPr>
          <w:p>
            <w:pPr>
              <w:spacing w:before="46" w:after="0" w:line="240"/>
              <w:ind w:right="0" w:left="60" w:firstLine="0"/>
              <w:jc w:val="left"/>
              <w:rPr>
                <w:position w:val="0"/>
                <w:shd w:fill="auto" w:val="clear"/>
              </w:rPr>
            </w:pPr>
            <w:r>
              <w:rPr>
                <w:rFonts w:ascii="Arial" w:hAnsi="Arial" w:cs="Arial" w:eastAsia="Arial"/>
                <w:b/>
                <w:color w:val="0070C0"/>
                <w:spacing w:val="0"/>
                <w:position w:val="0"/>
                <w:sz w:val="18"/>
                <w:shd w:fill="auto" w:val="clear"/>
              </w:rPr>
              <w:t xml:space="preserve">Coumarin</w:t>
            </w:r>
            <w:r>
              <w:rPr>
                <w:rFonts w:ascii="Arial" w:hAnsi="Arial" w:cs="Arial" w:eastAsia="Arial"/>
                <w:b/>
                <w:color w:val="0070C0"/>
                <w:spacing w:val="-6"/>
                <w:position w:val="0"/>
                <w:sz w:val="18"/>
                <w:shd w:fill="auto" w:val="clear"/>
              </w:rPr>
              <w:t xml:space="preserve"> </w:t>
            </w:r>
            <w:r>
              <w:rPr>
                <w:rFonts w:ascii="Arial" w:hAnsi="Arial" w:cs="Arial" w:eastAsia="Arial"/>
                <w:b/>
                <w:color w:val="0070C0"/>
                <w:spacing w:val="0"/>
                <w:position w:val="0"/>
                <w:sz w:val="18"/>
                <w:shd w:fill="auto" w:val="clear"/>
              </w:rPr>
              <w:t xml:space="preserve">(91-64-5)</w:t>
            </w:r>
          </w:p>
        </w:tc>
      </w:tr>
      <w:tr>
        <w:trPr>
          <w:trHeight w:val="407" w:hRule="auto"/>
          <w:jc w:val="left"/>
        </w:trPr>
        <w:tc>
          <w:tcPr>
            <w:tcW w:w="3970"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37" w:after="0" w:line="240"/>
              <w:ind w:right="0" w:left="60"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DL50</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orale</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rat</w:t>
            </w:r>
          </w:p>
        </w:tc>
        <w:tc>
          <w:tcPr>
            <w:tcW w:w="652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37" w:after="0" w:line="240"/>
              <w:ind w:right="0" w:left="62"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293</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mg/kg</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Source:</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National</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Library</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of</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Medicine/Hazardous</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Substances</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Data</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Bank</w:t>
            </w:r>
          </w:p>
        </w:tc>
      </w:tr>
      <w:tr>
        <w:trPr>
          <w:trHeight w:val="388" w:hRule="auto"/>
          <w:jc w:val="left"/>
        </w:trPr>
        <w:tc>
          <w:tcPr>
            <w:tcW w:w="3970"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37" w:after="0" w:line="240"/>
              <w:ind w:right="0" w:left="60"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DL50</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orale</w:t>
            </w:r>
          </w:p>
        </w:tc>
        <w:tc>
          <w:tcPr>
            <w:tcW w:w="652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37" w:after="0" w:line="240"/>
              <w:ind w:right="0" w:left="62"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500</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mg/kg</w:t>
            </w:r>
          </w:p>
        </w:tc>
      </w:tr>
    </w:tbl>
    <w:p>
      <w:pPr>
        <w:spacing w:before="6" w:after="0" w:line="240"/>
        <w:ind w:right="0" w:left="0" w:firstLine="0"/>
        <w:jc w:val="left"/>
        <w:rPr>
          <w:rFonts w:ascii="Calibri" w:hAnsi="Calibri" w:cs="Calibri" w:eastAsia="Calibri"/>
          <w:color w:val="auto"/>
          <w:spacing w:val="0"/>
          <w:position w:val="0"/>
          <w:sz w:val="22"/>
          <w:shd w:fill="auto" w:val="clear"/>
        </w:rPr>
      </w:pPr>
    </w:p>
    <w:p>
      <w:pPr>
        <w:spacing w:before="6"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Corrosion cutanée/irritation cutanée</w:t>
        <w:tab/>
        <w:t xml:space="preserve">: Non classé</w:t>
      </w:r>
    </w:p>
    <w:p>
      <w:pPr>
        <w:spacing w:before="6"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Lésions oculaires graves/irritation oculaire</w:t>
        <w:tab/>
        <w:t xml:space="preserve">: Non classé</w:t>
      </w:r>
    </w:p>
    <w:p>
      <w:pPr>
        <w:spacing w:before="6"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Sensibilisation respiratoire ou cutanée</w:t>
        <w:tab/>
        <w:t xml:space="preserve">: Peut provoquer une allergie cutanée.</w:t>
      </w:r>
    </w:p>
    <w:p>
      <w:pPr>
        <w:spacing w:before="6"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Mutagénicité sur les cellules germinales</w:t>
        <w:tab/>
        <w:t xml:space="preserve">: Non classé</w:t>
      </w:r>
    </w:p>
    <w:p>
      <w:pPr>
        <w:spacing w:before="6"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Cancérogénicité</w:t>
        <w:tab/>
        <w:t xml:space="preserve">: Non classé</w:t>
      </w:r>
    </w:p>
    <w:tbl>
      <w:tblPr>
        <w:tblInd w:w="130" w:type="dxa"/>
      </w:tblPr>
      <w:tblGrid>
        <w:gridCol w:w="3974"/>
        <w:gridCol w:w="6523"/>
      </w:tblGrid>
      <w:tr>
        <w:trPr>
          <w:trHeight w:val="421" w:hRule="auto"/>
          <w:jc w:val="left"/>
        </w:trPr>
        <w:tc>
          <w:tcPr>
            <w:tcW w:w="10497" w:type="dxa"/>
            <w:gridSpan w:val="2"/>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37" w:after="0" w:line="240"/>
              <w:ind w:right="0" w:left="69" w:firstLine="0"/>
              <w:jc w:val="left"/>
              <w:rPr>
                <w:position w:val="0"/>
                <w:shd w:fill="auto" w:val="clear"/>
              </w:rPr>
            </w:pPr>
            <w:r>
              <w:rPr>
                <w:rFonts w:ascii="Arial" w:hAnsi="Arial" w:cs="Arial" w:eastAsia="Arial"/>
                <w:b/>
                <w:color w:val="0070C0"/>
                <w:spacing w:val="0"/>
                <w:position w:val="0"/>
                <w:sz w:val="18"/>
                <w:shd w:fill="auto" w:val="clear"/>
              </w:rPr>
              <w:t xml:space="preserve">Coumarin</w:t>
            </w:r>
            <w:r>
              <w:rPr>
                <w:rFonts w:ascii="Arial" w:hAnsi="Arial" w:cs="Arial" w:eastAsia="Arial"/>
                <w:b/>
                <w:color w:val="0070C0"/>
                <w:spacing w:val="-6"/>
                <w:position w:val="0"/>
                <w:sz w:val="18"/>
                <w:shd w:fill="auto" w:val="clear"/>
              </w:rPr>
              <w:t xml:space="preserve"> </w:t>
            </w:r>
            <w:r>
              <w:rPr>
                <w:rFonts w:ascii="Arial" w:hAnsi="Arial" w:cs="Arial" w:eastAsia="Arial"/>
                <w:b/>
                <w:color w:val="0070C0"/>
                <w:spacing w:val="0"/>
                <w:position w:val="0"/>
                <w:sz w:val="18"/>
                <w:shd w:fill="auto" w:val="clear"/>
              </w:rPr>
              <w:t xml:space="preserve">(91-64-5)</w:t>
            </w:r>
          </w:p>
        </w:tc>
      </w:tr>
      <w:tr>
        <w:trPr>
          <w:trHeight w:val="436" w:hRule="auto"/>
          <w:jc w:val="left"/>
        </w:trPr>
        <w:tc>
          <w:tcPr>
            <w:tcW w:w="397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32" w:after="0" w:line="240"/>
              <w:ind w:right="0" w:left="69"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Groupe</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IARC</w:t>
            </w:r>
          </w:p>
        </w:tc>
        <w:tc>
          <w:tcPr>
            <w:tcW w:w="6523"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32" w:after="0" w:line="240"/>
              <w:ind w:right="0" w:left="63"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3</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Inclassable</w:t>
            </w:r>
          </w:p>
        </w:tc>
      </w:tr>
    </w:tbl>
    <w:p>
      <w:pPr>
        <w:spacing w:before="6" w:after="0" w:line="276"/>
        <w:ind w:right="0" w:left="0" w:firstLine="0"/>
        <w:jc w:val="left"/>
        <w:rPr>
          <w:rFonts w:ascii="Calibri" w:hAnsi="Calibri" w:cs="Calibri" w:eastAsia="Calibri"/>
          <w:color w:val="auto"/>
          <w:spacing w:val="0"/>
          <w:position w:val="0"/>
          <w:sz w:val="22"/>
          <w:shd w:fill="auto" w:val="clear"/>
        </w:rPr>
      </w:pPr>
    </w:p>
    <w:p>
      <w:pPr>
        <w:spacing w:before="6"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Toxicité pour la reproduction</w:t>
        <w:tab/>
        <w:t xml:space="preserve">: Non classé</w:t>
      </w:r>
    </w:p>
    <w:p>
      <w:pPr>
        <w:spacing w:before="99"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Toxicité spécifique pour certains organes cibles (STOT) (exposition unique) : Non classé</w:t>
      </w:r>
    </w:p>
    <w:p>
      <w:pPr>
        <w:spacing w:before="1" w:after="0" w:line="268"/>
        <w:ind w:right="129"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Toxicité spécifique pour certains organes cibles (STOT) (exposition répétée) : Non classé</w:t>
      </w:r>
    </w:p>
    <w:p>
      <w:pPr>
        <w:spacing w:before="99"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Danger par aspiration</w:t>
        <w:tab/>
        <w:t xml:space="preserve">: Non classé</w:t>
      </w:r>
    </w:p>
    <w:p>
      <w:pPr>
        <w:spacing w:before="6"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11.2. Effets interactifs (pour les mélanges)</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Pas</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d’informations</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complémentaires</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disponibles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11.3. Autres informations</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Pas d’informations complémentaires disponibles</w:t>
      </w: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12 : Informations écologiques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12.1. Toxicité</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Ecologie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w:t>
      </w:r>
      <w:r>
        <w:rPr>
          <w:rFonts w:ascii="Calibri" w:hAnsi="Calibri" w:cs="Calibri" w:eastAsia="Calibri"/>
          <w:color w:val="auto"/>
          <w:spacing w:val="0"/>
          <w:position w:val="0"/>
          <w:sz w:val="22"/>
          <w:shd w:fill="auto" w:val="clear"/>
        </w:rPr>
        <w:t xml:space="preserve">énéral : Ce produit n’est pas considéré comme toxique pour les organismes aquatiques et ne</w:t>
      </w:r>
      <w:r>
        <w:rPr>
          <w:rFonts w:ascii="Calibri" w:hAnsi="Calibri" w:cs="Calibri" w:eastAsia="Calibri"/>
          <w:color w:val="auto"/>
          <w:spacing w:val="-42"/>
          <w:position w:val="0"/>
          <w:sz w:val="22"/>
          <w:shd w:fill="auto" w:val="clear"/>
        </w:rPr>
        <w:t xml:space="preserve"> </w:t>
      </w:r>
      <w:r>
        <w:rPr>
          <w:rFonts w:ascii="Calibri" w:hAnsi="Calibri" w:cs="Calibri" w:eastAsia="Calibri"/>
          <w:color w:val="auto"/>
          <w:spacing w:val="0"/>
          <w:position w:val="0"/>
          <w:sz w:val="22"/>
          <w:shd w:fill="auto" w:val="clear"/>
        </w:rPr>
        <w:t xml:space="preserve">provoque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pas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d’effets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néfastes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à</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long</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terme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dans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l’environnement.</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Dangers</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pour</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le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milieu</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aquatique,</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à</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court</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terme</w:t>
      </w:r>
      <w:r>
        <w:rPr>
          <w:rFonts w:ascii="Calibri" w:hAnsi="Calibri" w:cs="Calibri" w:eastAsia="Calibri"/>
          <w:color w:val="auto"/>
          <w:spacing w:val="-41"/>
          <w:position w:val="0"/>
          <w:sz w:val="22"/>
          <w:shd w:fill="auto" w:val="clear"/>
        </w:rPr>
        <w:t xml:space="preserve"> </w:t>
      </w:r>
      <w:r>
        <w:rPr>
          <w:rFonts w:ascii="Calibri" w:hAnsi="Calibri" w:cs="Calibri" w:eastAsia="Calibri"/>
          <w:color w:val="auto"/>
          <w:spacing w:val="0"/>
          <w:position w:val="0"/>
          <w:sz w:val="22"/>
          <w:shd w:fill="auto" w:val="clear"/>
        </w:rPr>
        <w:t xml:space="preserve">(aiguë) : Non classé</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Dangers</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pour</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le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milieu</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aquatique,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à</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long</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terme</w:t>
      </w:r>
      <w:r>
        <w:rPr>
          <w:rFonts w:ascii="Calibri" w:hAnsi="Calibri" w:cs="Calibri" w:eastAsia="Calibri"/>
          <w:color w:val="auto"/>
          <w:spacing w:val="-42"/>
          <w:position w:val="0"/>
          <w:sz w:val="22"/>
          <w:shd w:fill="auto" w:val="clear"/>
        </w:rPr>
        <w:t xml:space="preserve"> </w:t>
      </w:r>
      <w:r>
        <w:rPr>
          <w:rFonts w:ascii="Calibri" w:hAnsi="Calibri" w:cs="Calibri" w:eastAsia="Calibri"/>
          <w:color w:val="auto"/>
          <w:spacing w:val="0"/>
          <w:position w:val="0"/>
          <w:sz w:val="22"/>
          <w:shd w:fill="auto" w:val="clear"/>
        </w:rPr>
        <w:t xml:space="preserve">(chronique) : Non classé</w:t>
      </w:r>
    </w:p>
    <w:p>
      <w:pPr>
        <w:spacing w:before="0" w:after="0" w:line="254"/>
        <w:ind w:right="3546" w:left="0" w:firstLine="0"/>
        <w:jc w:val="left"/>
        <w:rPr>
          <w:rFonts w:ascii="Calibri" w:hAnsi="Calibri" w:cs="Calibri" w:eastAsia="Calibri"/>
          <w:color w:val="auto"/>
          <w:spacing w:val="0"/>
          <w:position w:val="0"/>
          <w:sz w:val="22"/>
          <w:shd w:fill="auto" w:val="clear"/>
        </w:rPr>
      </w:pP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12.2. Persistance et dégradabilité</w:t>
      </w:r>
    </w:p>
    <w:p>
      <w:pPr>
        <w:spacing w:before="6" w:after="0" w:line="240"/>
        <w:ind w:right="0" w:left="0" w:firstLine="0"/>
        <w:jc w:val="left"/>
        <w:rPr>
          <w:rFonts w:ascii="Arial MT" w:hAnsi="Arial MT" w:cs="Arial MT" w:eastAsia="Arial MT"/>
          <w:color w:val="auto"/>
          <w:spacing w:val="0"/>
          <w:position w:val="0"/>
          <w:sz w:val="17"/>
          <w:shd w:fill="auto" w:val="clear"/>
        </w:rPr>
      </w:pPr>
    </w:p>
    <w:tbl>
      <w:tblPr>
        <w:tblInd w:w="125" w:type="dxa"/>
      </w:tblPr>
      <w:tblGrid>
        <w:gridCol w:w="3974"/>
        <w:gridCol w:w="6523"/>
      </w:tblGrid>
      <w:tr>
        <w:trPr>
          <w:trHeight w:val="402" w:hRule="auto"/>
          <w:jc w:val="left"/>
        </w:trPr>
        <w:tc>
          <w:tcPr>
            <w:tcW w:w="10497" w:type="dxa"/>
            <w:gridSpan w:val="2"/>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27" w:after="0" w:line="240"/>
              <w:ind w:right="0" w:left="64" w:firstLine="0"/>
              <w:jc w:val="left"/>
              <w:rPr>
                <w:position w:val="0"/>
                <w:shd w:fill="auto" w:val="clear"/>
              </w:rPr>
            </w:pPr>
            <w:r>
              <w:rPr>
                <w:rFonts w:ascii="Arial" w:hAnsi="Arial" w:cs="Arial" w:eastAsia="Arial"/>
                <w:b/>
                <w:color w:val="0070C0"/>
                <w:spacing w:val="0"/>
                <w:position w:val="0"/>
                <w:sz w:val="18"/>
                <w:shd w:fill="auto" w:val="clear"/>
              </w:rPr>
              <w:t xml:space="preserve">ROCHER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COCO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1420248</w:t>
            </w:r>
          </w:p>
        </w:tc>
      </w:tr>
      <w:tr>
        <w:trPr>
          <w:trHeight w:val="407" w:hRule="auto"/>
          <w:jc w:val="left"/>
        </w:trPr>
        <w:tc>
          <w:tcPr>
            <w:tcW w:w="397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17" w:after="0" w:line="240"/>
              <w:ind w:right="0" w:left="64"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Persistance</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et</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dégradabilité</w:t>
            </w:r>
          </w:p>
        </w:tc>
        <w:tc>
          <w:tcPr>
            <w:tcW w:w="6523"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17" w:after="0" w:line="240"/>
              <w:ind w:right="0" w:left="63"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Non</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rapidement</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dégradable</w:t>
            </w:r>
          </w:p>
        </w:tc>
      </w:tr>
    </w:tbl>
    <w:p>
      <w:pPr>
        <w:spacing w:before="10" w:after="1" w:line="240"/>
        <w:ind w:right="0" w:left="0" w:firstLine="0"/>
        <w:jc w:val="left"/>
        <w:rPr>
          <w:rFonts w:ascii="Arial MT" w:hAnsi="Arial MT" w:cs="Arial MT" w:eastAsia="Arial MT"/>
          <w:color w:val="auto"/>
          <w:spacing w:val="0"/>
          <w:position w:val="0"/>
          <w:sz w:val="17"/>
          <w:shd w:fill="auto" w:val="clear"/>
        </w:rPr>
      </w:pPr>
    </w:p>
    <w:tbl>
      <w:tblPr>
        <w:tblInd w:w="134" w:type="dxa"/>
      </w:tblPr>
      <w:tblGrid>
        <w:gridCol w:w="3970"/>
        <w:gridCol w:w="6524"/>
      </w:tblGrid>
      <w:tr>
        <w:trPr>
          <w:trHeight w:val="362" w:hRule="auto"/>
          <w:jc w:val="left"/>
        </w:trPr>
        <w:tc>
          <w:tcPr>
            <w:tcW w:w="10494" w:type="dxa"/>
            <w:gridSpan w:val="2"/>
            <w:tcBorders>
              <w:top w:val="single" w:color="0070c0" w:sz="0"/>
              <w:left w:val="single" w:color="0070c0" w:sz="4"/>
              <w:bottom w:val="single" w:color="0070c0" w:sz="4"/>
              <w:right w:val="single" w:color="0070c0" w:sz="4"/>
            </w:tcBorders>
            <w:shd w:color="auto" w:fill="bdd6ee" w:val="clear"/>
            <w:tcMar>
              <w:left w:w="0" w:type="dxa"/>
              <w:right w:w="0" w:type="dxa"/>
            </w:tcMar>
            <w:vAlign w:val="top"/>
          </w:tcPr>
          <w:p>
            <w:pPr>
              <w:spacing w:before="21" w:after="0" w:line="240"/>
              <w:ind w:right="0" w:left="60" w:firstLine="0"/>
              <w:jc w:val="left"/>
              <w:rPr>
                <w:position w:val="0"/>
                <w:shd w:fill="auto" w:val="clear"/>
              </w:rPr>
            </w:pPr>
            <w:r>
              <w:rPr>
                <w:rFonts w:ascii="Arial" w:hAnsi="Arial" w:cs="Arial" w:eastAsia="Arial"/>
                <w:b/>
                <w:color w:val="0070C0"/>
                <w:spacing w:val="0"/>
                <w:position w:val="0"/>
                <w:sz w:val="18"/>
                <w:shd w:fill="auto" w:val="clear"/>
              </w:rPr>
              <w:t xml:space="preserve">1,3-Benzodioxole-5-carboxaldehyde</w:t>
            </w:r>
            <w:r>
              <w:rPr>
                <w:rFonts w:ascii="Arial" w:hAnsi="Arial" w:cs="Arial" w:eastAsia="Arial"/>
                <w:b/>
                <w:color w:val="0070C0"/>
                <w:spacing w:val="-10"/>
                <w:position w:val="0"/>
                <w:sz w:val="18"/>
                <w:shd w:fill="auto" w:val="clear"/>
              </w:rPr>
              <w:t xml:space="preserve"> </w:t>
            </w:r>
            <w:r>
              <w:rPr>
                <w:rFonts w:ascii="Arial" w:hAnsi="Arial" w:cs="Arial" w:eastAsia="Arial"/>
                <w:b/>
                <w:color w:val="0070C0"/>
                <w:spacing w:val="0"/>
                <w:position w:val="0"/>
                <w:sz w:val="18"/>
                <w:shd w:fill="auto" w:val="clear"/>
              </w:rPr>
              <w:t xml:space="preserve">(120-57-0)</w:t>
            </w:r>
          </w:p>
        </w:tc>
      </w:tr>
      <w:tr>
        <w:trPr>
          <w:trHeight w:val="407" w:hRule="auto"/>
          <w:jc w:val="left"/>
        </w:trPr>
        <w:tc>
          <w:tcPr>
            <w:tcW w:w="3970"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1" w:after="0" w:line="240"/>
              <w:ind w:right="0" w:left="60"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Persistance</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et</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dégradabilité</w:t>
            </w:r>
          </w:p>
        </w:tc>
        <w:tc>
          <w:tcPr>
            <w:tcW w:w="652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1" w:after="0" w:line="240"/>
              <w:ind w:right="0" w:left="62"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Non</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rapidement</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dégradable</w:t>
            </w:r>
          </w:p>
        </w:tc>
      </w:tr>
      <w:tr>
        <w:trPr>
          <w:trHeight w:val="369" w:hRule="auto"/>
          <w:jc w:val="left"/>
        </w:trPr>
        <w:tc>
          <w:tcPr>
            <w:tcW w:w="10494" w:type="dxa"/>
            <w:gridSpan w:val="2"/>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47" w:after="0" w:line="240"/>
              <w:ind w:right="0" w:left="57" w:firstLine="0"/>
              <w:jc w:val="left"/>
              <w:rPr>
                <w:position w:val="0"/>
                <w:shd w:fill="auto" w:val="clear"/>
              </w:rPr>
            </w:pPr>
            <w:r>
              <w:rPr>
                <w:rFonts w:ascii="Arial" w:hAnsi="Arial" w:cs="Arial" w:eastAsia="Arial"/>
                <w:b/>
                <w:color w:val="0070C0"/>
                <w:spacing w:val="0"/>
                <w:position w:val="0"/>
                <w:sz w:val="18"/>
                <w:shd w:fill="auto" w:val="clear"/>
              </w:rPr>
              <w:t xml:space="preserve">3-p-Cumenyl-2-methylpropionaldehyde</w:t>
            </w:r>
            <w:r>
              <w:rPr>
                <w:rFonts w:ascii="Arial" w:hAnsi="Arial" w:cs="Arial" w:eastAsia="Arial"/>
                <w:b/>
                <w:color w:val="0070C0"/>
                <w:spacing w:val="-11"/>
                <w:position w:val="0"/>
                <w:sz w:val="18"/>
                <w:shd w:fill="auto" w:val="clear"/>
              </w:rPr>
              <w:t xml:space="preserve"> </w:t>
            </w:r>
            <w:r>
              <w:rPr>
                <w:rFonts w:ascii="Arial" w:hAnsi="Arial" w:cs="Arial" w:eastAsia="Arial"/>
                <w:b/>
                <w:color w:val="0070C0"/>
                <w:spacing w:val="0"/>
                <w:position w:val="0"/>
                <w:sz w:val="18"/>
                <w:shd w:fill="auto" w:val="clear"/>
              </w:rPr>
              <w:t xml:space="preserve">(103-95-7)</w:t>
            </w:r>
          </w:p>
        </w:tc>
      </w:tr>
      <w:tr>
        <w:trPr>
          <w:trHeight w:val="412" w:hRule="auto"/>
          <w:jc w:val="left"/>
        </w:trPr>
        <w:tc>
          <w:tcPr>
            <w:tcW w:w="3970"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6" w:after="0" w:line="240"/>
              <w:ind w:right="0" w:left="57"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Persistance</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et</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dégradabilité</w:t>
            </w:r>
          </w:p>
        </w:tc>
        <w:tc>
          <w:tcPr>
            <w:tcW w:w="652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6" w:after="0" w:line="240"/>
              <w:ind w:right="0" w:left="58"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Non</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rapidement</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dégradable</w:t>
            </w:r>
          </w:p>
        </w:tc>
      </w:tr>
    </w:tbl>
    <w:p>
      <w:pPr>
        <w:spacing w:before="6" w:after="0" w:line="240"/>
        <w:ind w:right="0" w:left="0" w:firstLine="0"/>
        <w:jc w:val="left"/>
        <w:rPr>
          <w:rFonts w:ascii="Arial MT" w:hAnsi="Arial MT" w:cs="Arial MT" w:eastAsia="Arial MT"/>
          <w:color w:val="auto"/>
          <w:spacing w:val="0"/>
          <w:position w:val="0"/>
          <w:sz w:val="11"/>
          <w:shd w:fill="auto" w:val="clear"/>
        </w:rPr>
      </w:pPr>
    </w:p>
    <w:tbl>
      <w:tblPr>
        <w:tblInd w:w="137" w:type="dxa"/>
      </w:tblPr>
      <w:tblGrid>
        <w:gridCol w:w="3973"/>
        <w:gridCol w:w="6520"/>
      </w:tblGrid>
      <w:tr>
        <w:trPr>
          <w:trHeight w:val="357" w:hRule="auto"/>
          <w:jc w:val="left"/>
        </w:trPr>
        <w:tc>
          <w:tcPr>
            <w:tcW w:w="10493" w:type="dxa"/>
            <w:gridSpan w:val="2"/>
            <w:tcBorders>
              <w:top w:val="single" w:color="0070c0" w:sz="4"/>
              <w:left w:val="single" w:color="0070c0" w:sz="4"/>
              <w:bottom w:val="single" w:color="0070c0" w:sz="4"/>
              <w:right w:val="single" w:color="0070c0" w:sz="4"/>
            </w:tcBorders>
            <w:shd w:color="auto" w:fill="2e74b5"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4" w:hRule="auto"/>
          <w:jc w:val="left"/>
        </w:trPr>
        <w:tc>
          <w:tcPr>
            <w:tcW w:w="10493" w:type="dxa"/>
            <w:gridSpan w:val="2"/>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32" w:after="0" w:line="240"/>
              <w:ind w:right="0" w:left="57" w:firstLine="0"/>
              <w:jc w:val="left"/>
              <w:rPr>
                <w:position w:val="0"/>
                <w:shd w:fill="auto" w:val="clear"/>
              </w:rPr>
            </w:pPr>
            <w:r>
              <w:rPr>
                <w:rFonts w:ascii="Arial" w:hAnsi="Arial" w:cs="Arial" w:eastAsia="Arial"/>
                <w:b/>
                <w:color w:val="0070C0"/>
                <w:spacing w:val="0"/>
                <w:position w:val="0"/>
                <w:sz w:val="18"/>
                <w:shd w:fill="auto" w:val="clear"/>
              </w:rPr>
              <w:t xml:space="preserve">Coumarin</w:t>
            </w:r>
            <w:r>
              <w:rPr>
                <w:rFonts w:ascii="Arial" w:hAnsi="Arial" w:cs="Arial" w:eastAsia="Arial"/>
                <w:b/>
                <w:color w:val="0070C0"/>
                <w:spacing w:val="-6"/>
                <w:position w:val="0"/>
                <w:sz w:val="18"/>
                <w:shd w:fill="auto" w:val="clear"/>
              </w:rPr>
              <w:t xml:space="preserve"> </w:t>
            </w:r>
            <w:r>
              <w:rPr>
                <w:rFonts w:ascii="Arial" w:hAnsi="Arial" w:cs="Arial" w:eastAsia="Arial"/>
                <w:b/>
                <w:color w:val="0070C0"/>
                <w:spacing w:val="0"/>
                <w:position w:val="0"/>
                <w:sz w:val="18"/>
                <w:shd w:fill="auto" w:val="clear"/>
              </w:rPr>
              <w:t xml:space="preserve">(91-64-5)</w:t>
            </w:r>
          </w:p>
        </w:tc>
      </w:tr>
      <w:tr>
        <w:trPr>
          <w:trHeight w:val="435" w:hRule="auto"/>
          <w:jc w:val="left"/>
        </w:trPr>
        <w:tc>
          <w:tcPr>
            <w:tcW w:w="3973" w:type="dxa"/>
            <w:tcBorders>
              <w:top w:val="single" w:color="0070c0" w:sz="4"/>
              <w:left w:val="single" w:color="0070c0" w:sz="4"/>
              <w:bottom w:val="single" w:color="0070c0" w:sz="0"/>
              <w:right w:val="single" w:color="0070c0" w:sz="6"/>
            </w:tcBorders>
            <w:shd w:color="000000" w:fill="ffffff" w:val="clear"/>
            <w:tcMar>
              <w:left w:w="0" w:type="dxa"/>
              <w:right w:w="0" w:type="dxa"/>
            </w:tcMar>
            <w:vAlign w:val="top"/>
          </w:tcPr>
          <w:p>
            <w:pPr>
              <w:spacing w:before="7" w:after="0" w:line="240"/>
              <w:ind w:right="0" w:left="0" w:firstLine="0"/>
              <w:jc w:val="left"/>
              <w:rPr>
                <w:rFonts w:ascii="Arial MT" w:hAnsi="Arial MT" w:cs="Arial MT" w:eastAsia="Arial MT"/>
                <w:color w:val="auto"/>
                <w:spacing w:val="0"/>
                <w:position w:val="0"/>
                <w:sz w:val="18"/>
                <w:shd w:fill="auto" w:val="clear"/>
              </w:rPr>
            </w:pPr>
          </w:p>
          <w:p>
            <w:pPr>
              <w:spacing w:before="0" w:after="0" w:line="240"/>
              <w:ind w:right="0" w:left="57"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Persistance</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et</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dégradabilité</w:t>
            </w:r>
          </w:p>
        </w:tc>
        <w:tc>
          <w:tcPr>
            <w:tcW w:w="6520" w:type="dxa"/>
            <w:tcBorders>
              <w:top w:val="single" w:color="0070c0" w:sz="4"/>
              <w:left w:val="single" w:color="0070c0" w:sz="6"/>
              <w:bottom w:val="single" w:color="0070c0" w:sz="0"/>
              <w:right w:val="single" w:color="0070c0" w:sz="4"/>
            </w:tcBorders>
            <w:shd w:color="000000" w:fill="ffffff" w:val="clear"/>
            <w:tcMar>
              <w:left w:w="0" w:type="dxa"/>
              <w:right w:w="0" w:type="dxa"/>
            </w:tcMar>
            <w:vAlign w:val="top"/>
          </w:tcPr>
          <w:p>
            <w:pPr>
              <w:spacing w:before="7" w:after="0" w:line="240"/>
              <w:ind w:right="0" w:left="0" w:firstLine="0"/>
              <w:jc w:val="left"/>
              <w:rPr>
                <w:rFonts w:ascii="Arial MT" w:hAnsi="Arial MT" w:cs="Arial MT" w:eastAsia="Arial MT"/>
                <w:color w:val="auto"/>
                <w:spacing w:val="0"/>
                <w:position w:val="0"/>
                <w:sz w:val="18"/>
                <w:shd w:fill="auto" w:val="clear"/>
              </w:rPr>
            </w:pPr>
          </w:p>
          <w:p>
            <w:pPr>
              <w:spacing w:before="0" w:after="0" w:line="240"/>
              <w:ind w:right="0" w:left="45"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Non</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rapidement</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dégradable</w:t>
            </w:r>
          </w:p>
        </w:tc>
      </w:tr>
    </w:tbl>
    <w:p>
      <w:pPr>
        <w:spacing w:before="6" w:after="0" w:line="240"/>
        <w:ind w:right="0" w:left="0" w:firstLine="0"/>
        <w:jc w:val="left"/>
        <w:rPr>
          <w:rFonts w:ascii="Arial MT" w:hAnsi="Arial MT" w:cs="Arial MT" w:eastAsia="Arial MT"/>
          <w:color w:val="auto"/>
          <w:spacing w:val="0"/>
          <w:position w:val="0"/>
          <w:sz w:val="17"/>
          <w:shd w:fill="auto" w:val="clear"/>
        </w:rPr>
      </w:pP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12.3. Potentiel de bioaccumulation</w:t>
      </w:r>
    </w:p>
    <w:tbl>
      <w:tblPr>
        <w:tblInd w:w="134" w:type="dxa"/>
      </w:tblPr>
      <w:tblGrid>
        <w:gridCol w:w="3970"/>
        <w:gridCol w:w="6524"/>
      </w:tblGrid>
      <w:tr>
        <w:trPr>
          <w:trHeight w:val="369" w:hRule="auto"/>
          <w:jc w:val="left"/>
        </w:trPr>
        <w:tc>
          <w:tcPr>
            <w:tcW w:w="10494" w:type="dxa"/>
            <w:gridSpan w:val="2"/>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51" w:after="0" w:line="240"/>
              <w:ind w:right="0" w:left="57" w:firstLine="0"/>
              <w:jc w:val="left"/>
              <w:rPr>
                <w:position w:val="0"/>
                <w:shd w:fill="auto" w:val="clear"/>
              </w:rPr>
            </w:pPr>
            <w:r>
              <w:rPr>
                <w:rFonts w:ascii="Arial" w:hAnsi="Arial" w:cs="Arial" w:eastAsia="Arial"/>
                <w:b/>
                <w:color w:val="0070C0"/>
                <w:spacing w:val="0"/>
                <w:position w:val="0"/>
                <w:sz w:val="18"/>
                <w:shd w:fill="auto" w:val="clear"/>
              </w:rPr>
              <w:t xml:space="preserve">1,3-Benzodioxole-5-carboxaldehyde</w:t>
            </w:r>
            <w:r>
              <w:rPr>
                <w:rFonts w:ascii="Arial" w:hAnsi="Arial" w:cs="Arial" w:eastAsia="Arial"/>
                <w:b/>
                <w:color w:val="0070C0"/>
                <w:spacing w:val="-11"/>
                <w:position w:val="0"/>
                <w:sz w:val="18"/>
                <w:shd w:fill="auto" w:val="clear"/>
              </w:rPr>
              <w:t xml:space="preserve"> </w:t>
            </w:r>
            <w:r>
              <w:rPr>
                <w:rFonts w:ascii="Arial" w:hAnsi="Arial" w:cs="Arial" w:eastAsia="Arial"/>
                <w:b/>
                <w:color w:val="0070C0"/>
                <w:spacing w:val="0"/>
                <w:position w:val="0"/>
                <w:sz w:val="18"/>
                <w:shd w:fill="auto" w:val="clear"/>
              </w:rPr>
              <w:t xml:space="preserve">(120-57-0)</w:t>
            </w:r>
          </w:p>
        </w:tc>
      </w:tr>
      <w:tr>
        <w:trPr>
          <w:trHeight w:val="417" w:hRule="auto"/>
          <w:jc w:val="left"/>
        </w:trPr>
        <w:tc>
          <w:tcPr>
            <w:tcW w:w="3970"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6" w:after="0" w:line="240"/>
              <w:ind w:right="0" w:left="57"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Coefficient</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de</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partage</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n-octanol/eau</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(Log</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Pow)</w:t>
            </w:r>
          </w:p>
        </w:tc>
        <w:tc>
          <w:tcPr>
            <w:tcW w:w="652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6" w:after="0" w:line="240"/>
              <w:ind w:right="0" w:left="58"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1,05</w:t>
            </w:r>
          </w:p>
        </w:tc>
      </w:tr>
    </w:tbl>
    <w:p>
      <w:pPr>
        <w:spacing w:before="6" w:after="0" w:line="240"/>
        <w:ind w:right="0" w:left="0" w:firstLine="0"/>
        <w:jc w:val="left"/>
        <w:rPr>
          <w:rFonts w:ascii="Arial MT" w:hAnsi="Arial MT" w:cs="Arial MT" w:eastAsia="Arial MT"/>
          <w:color w:val="auto"/>
          <w:spacing w:val="0"/>
          <w:position w:val="0"/>
          <w:sz w:val="17"/>
          <w:shd w:fill="auto" w:val="clear"/>
        </w:rPr>
      </w:pPr>
    </w:p>
    <w:tbl>
      <w:tblPr>
        <w:tblInd w:w="134" w:type="dxa"/>
      </w:tblPr>
      <w:tblGrid>
        <w:gridCol w:w="3970"/>
        <w:gridCol w:w="6524"/>
      </w:tblGrid>
      <w:tr>
        <w:trPr>
          <w:trHeight w:val="374" w:hRule="auto"/>
          <w:jc w:val="left"/>
        </w:trPr>
        <w:tc>
          <w:tcPr>
            <w:tcW w:w="10494" w:type="dxa"/>
            <w:gridSpan w:val="2"/>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51" w:after="0" w:line="240"/>
              <w:ind w:right="0" w:left="57" w:firstLine="0"/>
              <w:jc w:val="left"/>
              <w:rPr>
                <w:position w:val="0"/>
                <w:shd w:fill="auto" w:val="clear"/>
              </w:rPr>
            </w:pPr>
            <w:r>
              <w:rPr>
                <w:rFonts w:ascii="Arial" w:hAnsi="Arial" w:cs="Arial" w:eastAsia="Arial"/>
                <w:b/>
                <w:color w:val="0070C0"/>
                <w:spacing w:val="0"/>
                <w:position w:val="0"/>
                <w:sz w:val="18"/>
                <w:shd w:fill="auto" w:val="clear"/>
              </w:rPr>
              <w:t xml:space="preserve">3-p-Cumenyl-2-methylpropionaldehyde</w:t>
            </w:r>
            <w:r>
              <w:rPr>
                <w:rFonts w:ascii="Arial" w:hAnsi="Arial" w:cs="Arial" w:eastAsia="Arial"/>
                <w:b/>
                <w:color w:val="0070C0"/>
                <w:spacing w:val="-11"/>
                <w:position w:val="0"/>
                <w:sz w:val="18"/>
                <w:shd w:fill="auto" w:val="clear"/>
              </w:rPr>
              <w:t xml:space="preserve"> </w:t>
            </w:r>
            <w:r>
              <w:rPr>
                <w:rFonts w:ascii="Arial" w:hAnsi="Arial" w:cs="Arial" w:eastAsia="Arial"/>
                <w:b/>
                <w:color w:val="0070C0"/>
                <w:spacing w:val="0"/>
                <w:position w:val="0"/>
                <w:sz w:val="18"/>
                <w:shd w:fill="auto" w:val="clear"/>
              </w:rPr>
              <w:t xml:space="preserve">(103-95-7)</w:t>
            </w:r>
          </w:p>
        </w:tc>
      </w:tr>
      <w:tr>
        <w:trPr>
          <w:trHeight w:val="450" w:hRule="auto"/>
          <w:jc w:val="left"/>
        </w:trPr>
        <w:tc>
          <w:tcPr>
            <w:tcW w:w="3970" w:type="dxa"/>
            <w:tcBorders>
              <w:top w:val="single" w:color="0070c0" w:sz="4"/>
              <w:left w:val="single" w:color="0070c0" w:sz="4"/>
              <w:bottom w:val="single" w:color="0070c0" w:sz="0"/>
              <w:right w:val="single" w:color="0070c0" w:sz="4"/>
            </w:tcBorders>
            <w:shd w:color="000000" w:fill="ffffff" w:val="clear"/>
            <w:tcMar>
              <w:left w:w="0" w:type="dxa"/>
              <w:right w:w="0" w:type="dxa"/>
            </w:tcMar>
            <w:vAlign w:val="top"/>
          </w:tcPr>
          <w:p>
            <w:pPr>
              <w:spacing w:before="41" w:after="0" w:line="240"/>
              <w:ind w:right="0" w:left="57"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Coefficient</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de</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partage</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n-octanol/eau</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(Log</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Pow)</w:t>
            </w:r>
          </w:p>
        </w:tc>
        <w:tc>
          <w:tcPr>
            <w:tcW w:w="6524" w:type="dxa"/>
            <w:tcBorders>
              <w:top w:val="single" w:color="0070c0" w:sz="4"/>
              <w:left w:val="single" w:color="0070c0" w:sz="4"/>
              <w:bottom w:val="single" w:color="0070c0" w:sz="0"/>
              <w:right w:val="single" w:color="0070c0" w:sz="4"/>
            </w:tcBorders>
            <w:shd w:color="000000" w:fill="ffffff" w:val="clear"/>
            <w:tcMar>
              <w:left w:w="0" w:type="dxa"/>
              <w:right w:w="0" w:type="dxa"/>
            </w:tcMar>
            <w:vAlign w:val="top"/>
          </w:tcPr>
          <w:p>
            <w:pPr>
              <w:spacing w:before="41" w:after="0" w:line="240"/>
              <w:ind w:right="0" w:left="58"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3,91</w:t>
            </w:r>
            <w:r>
              <w:rPr>
                <w:rFonts w:ascii="Arial MT" w:hAnsi="Arial MT" w:cs="Arial MT" w:eastAsia="Arial MT"/>
                <w:color w:val="auto"/>
                <w:spacing w:val="27"/>
                <w:position w:val="0"/>
                <w:sz w:val="16"/>
                <w:shd w:fill="auto" w:val="clear"/>
              </w:rPr>
              <w:t xml:space="preserve"> </w:t>
            </w:r>
            <w:r>
              <w:rPr>
                <w:rFonts w:ascii="Arial MT" w:hAnsi="Arial MT" w:cs="Arial MT" w:eastAsia="Arial MT"/>
                <w:color w:val="auto"/>
                <w:spacing w:val="0"/>
                <w:position w:val="0"/>
                <w:sz w:val="16"/>
                <w:shd w:fill="auto" w:val="clear"/>
              </w:rPr>
              <w:t xml:space="preserve">Source:</w:t>
            </w:r>
            <w:r>
              <w:rPr>
                <w:rFonts w:ascii="Arial MT" w:hAnsi="Arial MT" w:cs="Arial MT" w:eastAsia="Arial MT"/>
                <w:color w:val="auto"/>
                <w:spacing w:val="28"/>
                <w:position w:val="0"/>
                <w:sz w:val="16"/>
                <w:shd w:fill="auto" w:val="clear"/>
              </w:rPr>
              <w:t xml:space="preserve"> </w:t>
            </w:r>
            <w:r>
              <w:rPr>
                <w:rFonts w:ascii="Arial MT" w:hAnsi="Arial MT" w:cs="Arial MT" w:eastAsia="Arial MT"/>
                <w:color w:val="auto"/>
                <w:spacing w:val="0"/>
                <w:position w:val="0"/>
                <w:sz w:val="16"/>
                <w:shd w:fill="auto" w:val="clear"/>
              </w:rPr>
              <w:t xml:space="preserve">Ecological</w:t>
            </w:r>
            <w:r>
              <w:rPr>
                <w:rFonts w:ascii="Arial MT" w:hAnsi="Arial MT" w:cs="Arial MT" w:eastAsia="Arial MT"/>
                <w:color w:val="auto"/>
                <w:spacing w:val="28"/>
                <w:position w:val="0"/>
                <w:sz w:val="16"/>
                <w:shd w:fill="auto" w:val="clear"/>
              </w:rPr>
              <w:t xml:space="preserve"> </w:t>
            </w:r>
            <w:r>
              <w:rPr>
                <w:rFonts w:ascii="Arial MT" w:hAnsi="Arial MT" w:cs="Arial MT" w:eastAsia="Arial MT"/>
                <w:color w:val="auto"/>
                <w:spacing w:val="0"/>
                <w:position w:val="0"/>
                <w:sz w:val="16"/>
                <w:shd w:fill="auto" w:val="clear"/>
              </w:rPr>
              <w:t xml:space="preserve">Structure</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Activity</w:t>
            </w:r>
            <w:r>
              <w:rPr>
                <w:rFonts w:ascii="Arial MT" w:hAnsi="Arial MT" w:cs="Arial MT" w:eastAsia="Arial MT"/>
                <w:color w:val="auto"/>
                <w:spacing w:val="27"/>
                <w:position w:val="0"/>
                <w:sz w:val="16"/>
                <w:shd w:fill="auto" w:val="clear"/>
              </w:rPr>
              <w:t xml:space="preserve"> </w:t>
            </w:r>
            <w:r>
              <w:rPr>
                <w:rFonts w:ascii="Arial MT" w:hAnsi="Arial MT" w:cs="Arial MT" w:eastAsia="Arial MT"/>
                <w:color w:val="auto"/>
                <w:spacing w:val="0"/>
                <w:position w:val="0"/>
                <w:sz w:val="16"/>
                <w:shd w:fill="auto" w:val="clear"/>
              </w:rPr>
              <w:t xml:space="preserve">Relationships</w:t>
            </w:r>
          </w:p>
        </w:tc>
      </w:tr>
      <w:tr>
        <w:trPr>
          <w:trHeight w:val="402" w:hRule="auto"/>
          <w:jc w:val="left"/>
        </w:trPr>
        <w:tc>
          <w:tcPr>
            <w:tcW w:w="10494" w:type="dxa"/>
            <w:gridSpan w:val="2"/>
            <w:tcBorders>
              <w:top w:val="single" w:color="0070c0" w:sz="0"/>
              <w:left w:val="single" w:color="0070c0" w:sz="4"/>
              <w:bottom w:val="single" w:color="0070c0" w:sz="4"/>
              <w:right w:val="single" w:color="0070c0" w:sz="4"/>
            </w:tcBorders>
            <w:shd w:color="auto" w:fill="bdd6ee" w:val="clear"/>
            <w:tcMar>
              <w:left w:w="0" w:type="dxa"/>
              <w:right w:w="0" w:type="dxa"/>
            </w:tcMar>
            <w:vAlign w:val="top"/>
          </w:tcPr>
          <w:p>
            <w:pPr>
              <w:spacing w:before="51" w:after="0" w:line="240"/>
              <w:ind w:right="0" w:left="57" w:firstLine="0"/>
              <w:jc w:val="left"/>
              <w:rPr>
                <w:position w:val="0"/>
                <w:shd w:fill="auto" w:val="clear"/>
              </w:rPr>
            </w:pPr>
            <w:r>
              <w:rPr>
                <w:rFonts w:ascii="Arial" w:hAnsi="Arial" w:cs="Arial" w:eastAsia="Arial"/>
                <w:b/>
                <w:color w:val="0070C0"/>
                <w:spacing w:val="0"/>
                <w:position w:val="0"/>
                <w:sz w:val="18"/>
                <w:shd w:fill="auto" w:val="clear"/>
              </w:rPr>
              <w:t xml:space="preserve">Coumarin</w:t>
            </w:r>
            <w:r>
              <w:rPr>
                <w:rFonts w:ascii="Arial" w:hAnsi="Arial" w:cs="Arial" w:eastAsia="Arial"/>
                <w:b/>
                <w:color w:val="0070C0"/>
                <w:spacing w:val="-6"/>
                <w:position w:val="0"/>
                <w:sz w:val="18"/>
                <w:shd w:fill="auto" w:val="clear"/>
              </w:rPr>
              <w:t xml:space="preserve"> </w:t>
            </w:r>
            <w:r>
              <w:rPr>
                <w:rFonts w:ascii="Arial" w:hAnsi="Arial" w:cs="Arial" w:eastAsia="Arial"/>
                <w:b/>
                <w:color w:val="0070C0"/>
                <w:spacing w:val="0"/>
                <w:position w:val="0"/>
                <w:sz w:val="18"/>
                <w:shd w:fill="auto" w:val="clear"/>
              </w:rPr>
              <w:t xml:space="preserve">(91-64-5)</w:t>
            </w:r>
          </w:p>
        </w:tc>
      </w:tr>
      <w:tr>
        <w:trPr>
          <w:trHeight w:val="412" w:hRule="auto"/>
          <w:jc w:val="left"/>
        </w:trPr>
        <w:tc>
          <w:tcPr>
            <w:tcW w:w="3970"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6" w:after="0" w:line="240"/>
              <w:ind w:right="0" w:left="57"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Coefficient</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de</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partage</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n-octanol/eau</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(Log</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Pow)</w:t>
            </w:r>
          </w:p>
        </w:tc>
        <w:tc>
          <w:tcPr>
            <w:tcW w:w="652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6" w:after="0" w:line="240"/>
              <w:ind w:right="0" w:left="58"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1,39</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Source:</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International</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Chemical</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Safety</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Cards</w:t>
            </w:r>
          </w:p>
        </w:tc>
      </w:tr>
    </w:tbl>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12.4. Mobilité dans le sol</w:t>
      </w:r>
    </w:p>
    <w:tbl>
      <w:tblPr>
        <w:tblInd w:w="134" w:type="dxa"/>
      </w:tblPr>
      <w:tblGrid>
        <w:gridCol w:w="3970"/>
        <w:gridCol w:w="6524"/>
      </w:tblGrid>
      <w:tr>
        <w:trPr>
          <w:trHeight w:val="369" w:hRule="auto"/>
          <w:jc w:val="left"/>
        </w:trPr>
        <w:tc>
          <w:tcPr>
            <w:tcW w:w="10494" w:type="dxa"/>
            <w:gridSpan w:val="2"/>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47" w:after="0" w:line="240"/>
              <w:ind w:right="0" w:left="57" w:firstLine="0"/>
              <w:jc w:val="left"/>
              <w:rPr>
                <w:position w:val="0"/>
                <w:shd w:fill="auto" w:val="clear"/>
              </w:rPr>
            </w:pPr>
            <w:r>
              <w:rPr>
                <w:rFonts w:ascii="Arial" w:hAnsi="Arial" w:cs="Arial" w:eastAsia="Arial"/>
                <w:b/>
                <w:color w:val="0070C0"/>
                <w:spacing w:val="0"/>
                <w:position w:val="0"/>
                <w:sz w:val="18"/>
                <w:shd w:fill="auto" w:val="clear"/>
              </w:rPr>
              <w:t xml:space="preserve">3-p-Cumenyl-2-methylpropionaldehyde</w:t>
            </w:r>
            <w:r>
              <w:rPr>
                <w:rFonts w:ascii="Arial" w:hAnsi="Arial" w:cs="Arial" w:eastAsia="Arial"/>
                <w:b/>
                <w:color w:val="0070C0"/>
                <w:spacing w:val="-11"/>
                <w:position w:val="0"/>
                <w:sz w:val="18"/>
                <w:shd w:fill="auto" w:val="clear"/>
              </w:rPr>
              <w:t xml:space="preserve"> </w:t>
            </w:r>
            <w:r>
              <w:rPr>
                <w:rFonts w:ascii="Arial" w:hAnsi="Arial" w:cs="Arial" w:eastAsia="Arial"/>
                <w:b/>
                <w:color w:val="0070C0"/>
                <w:spacing w:val="0"/>
                <w:position w:val="0"/>
                <w:sz w:val="18"/>
                <w:shd w:fill="auto" w:val="clear"/>
              </w:rPr>
              <w:t xml:space="preserve">(103-95-7)</w:t>
            </w:r>
          </w:p>
        </w:tc>
      </w:tr>
      <w:tr>
        <w:trPr>
          <w:trHeight w:val="417" w:hRule="auto"/>
          <w:jc w:val="left"/>
        </w:trPr>
        <w:tc>
          <w:tcPr>
            <w:tcW w:w="3970"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6" w:after="0" w:line="240"/>
              <w:ind w:right="0" w:left="57"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Mobilité</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dans</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le</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sol</w:t>
            </w:r>
          </w:p>
        </w:tc>
        <w:tc>
          <w:tcPr>
            <w:tcW w:w="6524" w:type="dxa"/>
            <w:tcBorders>
              <w:top w:val="single" w:color="0070c0" w:sz="4"/>
              <w:left w:val="single" w:color="0070c0" w:sz="4"/>
              <w:bottom w:val="single" w:color="0070c0" w:sz="4"/>
              <w:right w:val="single" w:color="0070c0" w:sz="4"/>
            </w:tcBorders>
            <w:shd w:color="000000" w:fill="ffffff" w:val="clear"/>
            <w:tcMar>
              <w:left w:w="0" w:type="dxa"/>
              <w:right w:w="0" w:type="dxa"/>
            </w:tcMar>
            <w:vAlign w:val="top"/>
          </w:tcPr>
          <w:p>
            <w:pPr>
              <w:spacing w:before="46" w:after="0" w:line="240"/>
              <w:ind w:right="0" w:left="58"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2,859</w:t>
            </w:r>
            <w:r>
              <w:rPr>
                <w:rFonts w:ascii="Arial MT" w:hAnsi="Arial MT" w:cs="Arial MT" w:eastAsia="Arial MT"/>
                <w:color w:val="auto"/>
                <w:spacing w:val="26"/>
                <w:position w:val="0"/>
                <w:sz w:val="16"/>
                <w:shd w:fill="auto" w:val="clear"/>
              </w:rPr>
              <w:t xml:space="preserve"> </w:t>
            </w:r>
            <w:r>
              <w:rPr>
                <w:rFonts w:ascii="Arial MT" w:hAnsi="Arial MT" w:cs="Arial MT" w:eastAsia="Arial MT"/>
                <w:color w:val="auto"/>
                <w:spacing w:val="0"/>
                <w:position w:val="0"/>
                <w:sz w:val="16"/>
                <w:shd w:fill="auto" w:val="clear"/>
              </w:rPr>
              <w:t xml:space="preserve">Source:</w:t>
            </w:r>
            <w:r>
              <w:rPr>
                <w:rFonts w:ascii="Arial MT" w:hAnsi="Arial MT" w:cs="Arial MT" w:eastAsia="Arial MT"/>
                <w:color w:val="auto"/>
                <w:spacing w:val="27"/>
                <w:position w:val="0"/>
                <w:sz w:val="16"/>
                <w:shd w:fill="auto" w:val="clear"/>
              </w:rPr>
              <w:t xml:space="preserve"> </w:t>
            </w:r>
            <w:r>
              <w:rPr>
                <w:rFonts w:ascii="Arial MT" w:hAnsi="Arial MT" w:cs="Arial MT" w:eastAsia="Arial MT"/>
                <w:color w:val="auto"/>
                <w:spacing w:val="0"/>
                <w:position w:val="0"/>
                <w:sz w:val="16"/>
                <w:shd w:fill="auto" w:val="clear"/>
              </w:rPr>
              <w:t xml:space="preserve">Quantitative</w:t>
            </w:r>
            <w:r>
              <w:rPr>
                <w:rFonts w:ascii="Arial MT" w:hAnsi="Arial MT" w:cs="Arial MT" w:eastAsia="Arial MT"/>
                <w:color w:val="auto"/>
                <w:spacing w:val="26"/>
                <w:position w:val="0"/>
                <w:sz w:val="16"/>
                <w:shd w:fill="auto" w:val="clear"/>
              </w:rPr>
              <w:t xml:space="preserve"> </w:t>
            </w:r>
            <w:r>
              <w:rPr>
                <w:rFonts w:ascii="Arial MT" w:hAnsi="Arial MT" w:cs="Arial MT" w:eastAsia="Arial MT"/>
                <w:color w:val="auto"/>
                <w:spacing w:val="0"/>
                <w:position w:val="0"/>
                <w:sz w:val="16"/>
                <w:shd w:fill="auto" w:val="clear"/>
              </w:rPr>
              <w:t xml:space="preserve">Structure</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Activity</w:t>
            </w:r>
            <w:r>
              <w:rPr>
                <w:rFonts w:ascii="Arial MT" w:hAnsi="Arial MT" w:cs="Arial MT" w:eastAsia="Arial MT"/>
                <w:color w:val="auto"/>
                <w:spacing w:val="26"/>
                <w:position w:val="0"/>
                <w:sz w:val="16"/>
                <w:shd w:fill="auto" w:val="clear"/>
              </w:rPr>
              <w:t xml:space="preserve"> </w:t>
            </w:r>
            <w:r>
              <w:rPr>
                <w:rFonts w:ascii="Arial MT" w:hAnsi="Arial MT" w:cs="Arial MT" w:eastAsia="Arial MT"/>
                <w:color w:val="auto"/>
                <w:spacing w:val="0"/>
                <w:position w:val="0"/>
                <w:sz w:val="16"/>
                <w:shd w:fill="auto" w:val="clear"/>
              </w:rPr>
              <w:t xml:space="preserve">Relation</w:t>
            </w:r>
          </w:p>
        </w:tc>
      </w:tr>
    </w:tbl>
    <w:p>
      <w:pPr>
        <w:spacing w:before="6" w:after="0" w:line="240"/>
        <w:ind w:right="0" w:left="0" w:firstLine="0"/>
        <w:jc w:val="left"/>
        <w:rPr>
          <w:rFonts w:ascii="Arial" w:hAnsi="Arial" w:cs="Arial" w:eastAsia="Arial"/>
          <w:b/>
          <w:color w:val="auto"/>
          <w:spacing w:val="0"/>
          <w:position w:val="0"/>
          <w:sz w:val="17"/>
          <w:shd w:fill="auto" w:val="clear"/>
        </w:rPr>
      </w:pPr>
    </w:p>
    <w:tbl>
      <w:tblPr>
        <w:tblInd w:w="134" w:type="dxa"/>
      </w:tblPr>
      <w:tblGrid>
        <w:gridCol w:w="3970"/>
        <w:gridCol w:w="6524"/>
      </w:tblGrid>
      <w:tr>
        <w:trPr>
          <w:trHeight w:val="402" w:hRule="auto"/>
          <w:jc w:val="left"/>
        </w:trPr>
        <w:tc>
          <w:tcPr>
            <w:tcW w:w="10494" w:type="dxa"/>
            <w:gridSpan w:val="2"/>
            <w:tcBorders>
              <w:top w:val="single" w:color="0070c0" w:sz="4"/>
              <w:left w:val="single" w:color="0070c0" w:sz="4"/>
              <w:bottom w:val="single" w:color="0070c0" w:sz="4"/>
              <w:right w:val="single" w:color="0070c0" w:sz="4"/>
            </w:tcBorders>
            <w:shd w:color="auto" w:fill="bdd6ee" w:val="clear"/>
            <w:tcMar>
              <w:left w:w="0" w:type="dxa"/>
              <w:right w:w="0" w:type="dxa"/>
            </w:tcMar>
            <w:vAlign w:val="top"/>
          </w:tcPr>
          <w:p>
            <w:pPr>
              <w:spacing w:before="47" w:after="0" w:line="240"/>
              <w:ind w:right="0" w:left="57" w:firstLine="0"/>
              <w:jc w:val="left"/>
              <w:rPr>
                <w:position w:val="0"/>
                <w:shd w:fill="auto" w:val="clear"/>
              </w:rPr>
            </w:pPr>
            <w:r>
              <w:rPr>
                <w:rFonts w:ascii="Arial" w:hAnsi="Arial" w:cs="Arial" w:eastAsia="Arial"/>
                <w:b/>
                <w:color w:val="0070C0"/>
                <w:spacing w:val="0"/>
                <w:position w:val="0"/>
                <w:sz w:val="18"/>
                <w:shd w:fill="auto" w:val="clear"/>
              </w:rPr>
              <w:t xml:space="preserve">Coumarin</w:t>
            </w:r>
            <w:r>
              <w:rPr>
                <w:rFonts w:ascii="Arial" w:hAnsi="Arial" w:cs="Arial" w:eastAsia="Arial"/>
                <w:b/>
                <w:color w:val="0070C0"/>
                <w:spacing w:val="-6"/>
                <w:position w:val="0"/>
                <w:sz w:val="18"/>
                <w:shd w:fill="auto" w:val="clear"/>
              </w:rPr>
              <w:t xml:space="preserve"> </w:t>
            </w:r>
            <w:r>
              <w:rPr>
                <w:rFonts w:ascii="Arial" w:hAnsi="Arial" w:cs="Arial" w:eastAsia="Arial"/>
                <w:b/>
                <w:color w:val="0070C0"/>
                <w:spacing w:val="0"/>
                <w:position w:val="0"/>
                <w:sz w:val="18"/>
                <w:shd w:fill="auto" w:val="clear"/>
              </w:rPr>
              <w:t xml:space="preserve">(91-64-5)</w:t>
            </w:r>
          </w:p>
        </w:tc>
      </w:tr>
      <w:tr>
        <w:trPr>
          <w:trHeight w:val="450" w:hRule="auto"/>
          <w:jc w:val="left"/>
        </w:trPr>
        <w:tc>
          <w:tcPr>
            <w:tcW w:w="3970" w:type="dxa"/>
            <w:tcBorders>
              <w:top w:val="single" w:color="0070c0" w:sz="4"/>
              <w:left w:val="single" w:color="0070c0" w:sz="4"/>
              <w:bottom w:val="single" w:color="0070c0" w:sz="0"/>
              <w:right w:val="single" w:color="0070c0" w:sz="4"/>
            </w:tcBorders>
            <w:shd w:color="000000" w:fill="ffffff" w:val="clear"/>
            <w:tcMar>
              <w:left w:w="0" w:type="dxa"/>
              <w:right w:w="0" w:type="dxa"/>
            </w:tcMar>
            <w:vAlign w:val="top"/>
          </w:tcPr>
          <w:p>
            <w:pPr>
              <w:spacing w:before="46" w:after="0" w:line="240"/>
              <w:ind w:right="0" w:left="57"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Mobilité</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dans</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le</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sol</w:t>
            </w:r>
          </w:p>
        </w:tc>
        <w:tc>
          <w:tcPr>
            <w:tcW w:w="6524" w:type="dxa"/>
            <w:tcBorders>
              <w:top w:val="single" w:color="0070c0" w:sz="4"/>
              <w:left w:val="single" w:color="0070c0" w:sz="4"/>
              <w:bottom w:val="single" w:color="0070c0" w:sz="0"/>
              <w:right w:val="single" w:color="0070c0" w:sz="4"/>
            </w:tcBorders>
            <w:shd w:color="000000" w:fill="ffffff" w:val="clear"/>
            <w:tcMar>
              <w:left w:w="0" w:type="dxa"/>
              <w:right w:w="0" w:type="dxa"/>
            </w:tcMar>
            <w:vAlign w:val="top"/>
          </w:tcPr>
          <w:p>
            <w:pPr>
              <w:spacing w:before="46" w:after="0" w:line="240"/>
              <w:ind w:right="0" w:left="58" w:firstLine="0"/>
              <w:jc w:val="left"/>
              <w:rPr>
                <w:color w:val="auto"/>
                <w:position w:val="0"/>
                <w:shd w:fill="auto" w:val="clear"/>
              </w:rPr>
            </w:pPr>
            <w:r>
              <w:rPr>
                <w:rFonts w:ascii="Arial MT" w:hAnsi="Arial MT" w:cs="Arial MT" w:eastAsia="Arial MT"/>
                <w:color w:val="auto"/>
                <w:spacing w:val="0"/>
                <w:position w:val="0"/>
                <w:sz w:val="16"/>
                <w:shd w:fill="auto" w:val="clear"/>
              </w:rPr>
              <w:t xml:space="preserve">140</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Source:</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National</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Library</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of</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Medicine/Hazardous</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Substances</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Data</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Bank</w:t>
            </w:r>
          </w:p>
        </w:tc>
      </w:tr>
    </w:tbl>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12.5. Résultats des évaluations PBT et vPvB</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Pas d’informations complémentaires disponibles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12.6 Autres effets néfastes</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Pas d’informations complémentaires disponibles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12.7. Classe de pollution des eaux</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Pas d’informations complémentaires disponibles</w:t>
      </w: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13 : Considérations relatives à l’élimination</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13.1. Méthodes de traitement des déchets</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Méthodes de traitement des déchets : Eliminer le contenu/récipient conformément aux consignes de tri du collecteur agréé.</w:t>
      </w: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14 : Informations relatives au transport</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14.1. Numéro ONU</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règlementé</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14.2. Nom d’expédition des Nations unies</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règlementé</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14.3. Classe(s) de danger pour le transport</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règlementé</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14.4. Groupe d’emballage</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règlementé</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14.5. Dangers pour l’environnement</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règlementé</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14.6. Précautions particulières à prendre par l’utilisateur</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règlementé</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14.7. Transport en vrac conformément à l’annexe II de la convention MARPOL 73/78 et au recueil IBC</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règlementé</w:t>
      </w: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15 : Informations réglementaires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15.1. Réglementations/Législation particulières à la substance ou au mélange en matière de sécurité, de santé et d’environnement</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Annexe XVII de REACH (Liste de restriction)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contient pas de substance(s) listée(s) dans l’Annexe XVII de REACH (Conditions de restriction)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Annexe XIV de REACH (Liste d’autorisation)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contient pas de substance(s) listée(s) dans l’annexe XIV de REACH (Liste d’autorisation)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Liste candidate REACH (SVHC)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contient pas de substance(s) listée(s) dans la liste des substances candidates de REACH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Règlement PIC (UE 649/2012, consentement préalable en connaissance de cause)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contient pas de substance(s) listée(s) dans la liste PIC (Règlement UE 649/2012 concernant les exportations et importations de produits chimiques dangereux)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Règlement POP (UE 2019/1021, polluants organiques persistants)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contient pas de substance(s) listée(s) dans la liste des POP (règlement UE 2019/1021 sur les polluants organiques persistants)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Règlement sur l’appauvrissement de la couche d’ozone (UE 1005/2009)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contient aucune substance listée dans la liste des substances appauvrissant la couche d’ozone (Règlement (CE) n° 1005/2009 relatif à des substances appauvrissant la couche d’ozone)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Règlement sur les précurseurs d’explosifs (UE 2019/1148)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contient pas de substance(s) listée(s) dans la liste des précurseurs d’explosifs (Règlement UE 2019/1148 relatif à la commercialisation et à l’utilisation des précurseurs d’explosifs) </w:t>
      </w:r>
    </w:p>
    <w:p>
      <w:p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Règlement sur les précurseurs de drogues (CE 273/2004) </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suppressAutoHyphens w:val="true"/>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15.2. Évaluation de la sécurité chimique</w:t>
      </w:r>
    </w:p>
    <w:p>
      <w:pPr>
        <w:suppressAutoHyphens w:val="true"/>
        <w:spacing w:before="12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Pas d’informations complémentaires disponibles</w:t>
      </w:r>
    </w:p>
    <w:p>
      <w:pPr>
        <w:suppressAutoHyphens w:val="true"/>
        <w:spacing w:before="120" w:after="120" w:line="240"/>
        <w:ind w:right="0" w:left="0" w:firstLine="0"/>
        <w:jc w:val="left"/>
        <w:rPr>
          <w:rFonts w:ascii="Calibri" w:hAnsi="Calibri" w:cs="Calibri" w:eastAsia="Calibri"/>
          <w:color w:val="auto"/>
          <w:spacing w:val="0"/>
          <w:position w:val="0"/>
          <w:sz w:val="28"/>
          <w:shd w:fill="8EAADB" w:val="clear"/>
        </w:rPr>
      </w:pPr>
      <w:r>
        <w:rPr>
          <w:rFonts w:ascii="Calibri" w:hAnsi="Calibri" w:cs="Calibri" w:eastAsia="Calibri"/>
          <w:color w:val="auto"/>
          <w:spacing w:val="0"/>
          <w:position w:val="0"/>
          <w:sz w:val="28"/>
          <w:shd w:fill="8EAADB" w:val="clear"/>
        </w:rPr>
        <w:t xml:space="preserve">RUBRIQUE 16 : Autres informations</w:t>
      </w:r>
    </w:p>
    <w:p>
      <w:pPr>
        <w:suppressAutoHyphens w:val="true"/>
        <w:spacing w:before="120" w:after="120" w:line="240"/>
        <w:ind w:right="0" w:left="0" w:firstLine="0"/>
        <w:jc w:val="left"/>
        <w:rPr>
          <w:rFonts w:ascii="Calibri" w:hAnsi="Calibri" w:cs="Calibri" w:eastAsia="Calibri"/>
          <w:color w:val="auto"/>
          <w:spacing w:val="0"/>
          <w:position w:val="0"/>
          <w:sz w:val="24"/>
          <w:shd w:fill="auto" w:val="clear"/>
        </w:rPr>
      </w:pPr>
    </w:p>
    <w:p>
      <w:pPr>
        <w:numPr>
          <w:ilvl w:val="0"/>
          <w:numId w:val="191"/>
        </w:numPr>
        <w:suppressAutoHyphens w:val="true"/>
        <w:spacing w:before="120" w:after="12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Classement du mélange selon CLP déterminé en fonction des données relatives aux composants du mélange.</w:t>
      </w:r>
    </w:p>
    <w:p>
      <w:pPr>
        <w:numPr>
          <w:ilvl w:val="0"/>
          <w:numId w:val="191"/>
        </w:numPr>
        <w:suppressAutoHyphens w:val="true"/>
        <w:spacing w:before="120" w:after="12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raison de sa forme solide, de son insolubilité et de sa faible dégradabilité, le produit ne présente aucun risque d'écoulement accidentel ou d'ingestion</w:t>
      </w:r>
      <w:r>
        <w:rPr>
          <w:rFonts w:ascii="Segoe UI" w:hAnsi="Segoe UI" w:cs="Segoe UI" w:eastAsia="Segoe UI"/>
          <w:color w:val="374151"/>
          <w:spacing w:val="0"/>
          <w:position w:val="0"/>
          <w:sz w:val="22"/>
          <w:shd w:fill="F7F7F8"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num w:numId="19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