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SODA COLA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Dangereux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Danger chronique,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696"/>
        <w:gridCol w:w="7366"/>
      </w:tblGrid>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r>
        <w:trPr>
          <w:trHeight w:val="1" w:hRule="atLeast"/>
          <w:jc w:val="left"/>
        </w:trPr>
        <w:tc>
          <w:tcPr>
            <w:tcW w:w="16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3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EUH208 </w:t>
      </w:r>
      <w:r>
        <w:rPr>
          <w:rFonts w:ascii="Arial" w:hAnsi="Arial" w:cs="Arial" w:eastAsia="Arial"/>
          <w:b/>
          <w:color w:val="auto"/>
          <w:spacing w:val="0"/>
          <w:position w:val="0"/>
          <w:sz w:val="16"/>
          <w:shd w:fill="auto" w:val="clear"/>
        </w:rPr>
        <w:t xml:space="preserve">Contient</w:t>
      </w:r>
      <w:r>
        <w:rPr>
          <w:rFonts w:ascii="Arial" w:hAnsi="Arial" w:cs="Arial" w:eastAsia="Arial"/>
          <w:color w:val="auto"/>
          <w:spacing w:val="0"/>
          <w:position w:val="0"/>
          <w:sz w:val="16"/>
          <w:shd w:fill="auto" w:val="clear"/>
        </w:rPr>
        <w:t xml:space="preserve"> : Lime oil distilled,Cinnamic aldehyde. Peut produire une réaction allergique.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Lime oil distilled</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8008-26-2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290-010-3</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0.245-0.49</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Flam. Liq. 3, H226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 H317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Repr. 1A, H360FD</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Asp. Tox. 1, H304</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1, H410</w:t>
            </w:r>
          </w:p>
          <w:p>
            <w:pPr>
              <w:spacing w:before="0" w:after="0" w:line="240"/>
              <w:ind w:right="0" w:left="0" w:firstLine="0"/>
              <w:jc w:val="left"/>
              <w:rPr>
                <w:color w:val="auto"/>
                <w:spacing w:val="0"/>
                <w:position w:val="0"/>
                <w:shd w:fill="auto" w:val="clear"/>
              </w:rPr>
            </w:pPr>
          </w:p>
        </w:tc>
      </w:tr>
      <w:tr>
        <w:trPr>
          <w:trHeight w:val="1" w:hRule="atLeast"/>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Cinnamic aldehyde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104-55-2</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203-213-9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0.161-0.3185</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Acute Tox. 4 (par voie cutanée), H312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Irrit. 2, H315</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Eye Irrit. 2, H319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Skin Sens. 1, H317</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Aquatic Chronic 3, H412</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Non classé</w:t>
            </w:r>
          </w:p>
          <w:p>
            <w:pPr>
              <w:spacing w:before="0" w:after="0" w:line="240"/>
              <w:ind w:right="0" w:left="0" w:firstLine="0"/>
              <w:jc w:val="left"/>
              <w:rPr>
                <w:color w:val="auto"/>
                <w:spacing w:val="0"/>
                <w:position w:val="0"/>
                <w:shd w:fill="auto" w:val="clear"/>
              </w:rPr>
            </w:pP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color w:val="0070C0"/>
          <w:spacing w:val="0"/>
          <w:position w:val="0"/>
          <w:sz w:val="16"/>
          <w:shd w:fill="auto" w:val="clear"/>
        </w:rPr>
        <w:t xml:space="preserve">15.1.1 </w:t>
      </w:r>
      <w:r>
        <w:rPr>
          <w:rFonts w:ascii="Arial" w:hAnsi="Arial" w:cs="Arial" w:eastAsia="Arial"/>
          <w:b/>
          <w:color w:val="0070C0"/>
          <w:spacing w:val="0"/>
          <w:position w:val="0"/>
          <w:sz w:val="16"/>
          <w:shd w:fill="auto" w:val="clear"/>
        </w:rPr>
        <w:t xml:space="preserve">Réglementations UE</w:t>
      </w:r>
    </w:p>
    <w:p>
      <w:pPr>
        <w:spacing w:before="0" w:after="0" w:line="240"/>
        <w:ind w:right="0" w:left="-567" w:firstLine="0"/>
        <w:jc w:val="left"/>
        <w:rPr>
          <w:rFonts w:ascii="Arial" w:hAnsi="Arial" w:cs="Arial" w:eastAsia="Arial"/>
          <w:b/>
          <w:color w:val="0070C0"/>
          <w:spacing w:val="0"/>
          <w:position w:val="0"/>
          <w:sz w:val="16"/>
          <w:shd w:fill="auto" w:val="clear"/>
        </w:rPr>
      </w:pPr>
    </w:p>
    <w:p>
      <w:pPr>
        <w:spacing w:before="122"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l’annexe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XIV</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REACH</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d’autorisation)</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Liste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candidate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REACH</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2"/>
          <w:position w:val="0"/>
          <w:sz w:val="16"/>
          <w:shd w:fill="auto" w:val="clear"/>
        </w:rPr>
        <w:t xml:space="preserve">(SVHC)</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candidates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REACH</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PIC</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649/2012,</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consentement</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préalable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en</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connaissance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2"/>
          <w:position w:val="0"/>
          <w:sz w:val="16"/>
          <w:shd w:fill="auto" w:val="clear"/>
        </w:rPr>
        <w:t xml:space="preserve">cause)</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PIC</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649/2012</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concernant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exportations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importations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produits chimiques dangereux)</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POP</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2019/1021,</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polluants</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organiques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persistants)</w:t>
      </w:r>
    </w:p>
    <w:p>
      <w:pPr>
        <w:spacing w:before="119"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POP</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2019/1021</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sur</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polluants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organiques</w:t>
      </w:r>
      <w:r>
        <w:rPr>
          <w:rFonts w:ascii="Arial" w:hAnsi="Arial" w:cs="Arial" w:eastAsia="Arial"/>
          <w:color w:val="auto"/>
          <w:spacing w:val="-2"/>
          <w:position w:val="0"/>
          <w:sz w:val="16"/>
          <w:shd w:fill="auto" w:val="clear"/>
        </w:rPr>
        <w:t xml:space="preserve"> persistants)</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6"/>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l’appauvrissement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4"/>
          <w:position w:val="0"/>
          <w:sz w:val="16"/>
          <w:shd w:fill="auto" w:val="clear"/>
        </w:rPr>
        <w:t xml:space="preserve"> </w:t>
      </w:r>
      <w:r>
        <w:rPr>
          <w:rFonts w:ascii="Arial" w:hAnsi="Arial" w:cs="Arial" w:eastAsia="Arial"/>
          <w:b/>
          <w:color w:val="0070C0"/>
          <w:spacing w:val="0"/>
          <w:position w:val="0"/>
          <w:sz w:val="16"/>
          <w:shd w:fill="auto" w:val="clear"/>
        </w:rPr>
        <w:t xml:space="preserve">la</w:t>
      </w:r>
      <w:r>
        <w:rPr>
          <w:rFonts w:ascii="Arial" w:hAnsi="Arial" w:cs="Arial" w:eastAsia="Arial"/>
          <w:b/>
          <w:color w:val="0070C0"/>
          <w:spacing w:val="-5"/>
          <w:position w:val="0"/>
          <w:sz w:val="16"/>
          <w:shd w:fill="auto" w:val="clear"/>
        </w:rPr>
        <w:t xml:space="preserve"> </w:t>
      </w:r>
      <w:r>
        <w:rPr>
          <w:rFonts w:ascii="Arial" w:hAnsi="Arial" w:cs="Arial" w:eastAsia="Arial"/>
          <w:b/>
          <w:color w:val="0070C0"/>
          <w:spacing w:val="0"/>
          <w:position w:val="0"/>
          <w:sz w:val="16"/>
          <w:shd w:fill="auto" w:val="clear"/>
        </w:rPr>
        <w:t xml:space="preserve">couche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d’ozone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2"/>
          <w:position w:val="0"/>
          <w:sz w:val="16"/>
          <w:shd w:fill="auto" w:val="clear"/>
        </w:rPr>
        <w:t xml:space="preserve">1005/2009)</w:t>
      </w:r>
    </w:p>
    <w:p>
      <w:pPr>
        <w:spacing w:before="157"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aucune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substance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listée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appauvrissant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couche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d’ozone</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1005/2009</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 substances appauvrissant la couche d’ozone)</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d’explosifs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(UE</w:t>
      </w:r>
      <w:r>
        <w:rPr>
          <w:rFonts w:ascii="Arial" w:hAnsi="Arial" w:cs="Arial" w:eastAsia="Arial"/>
          <w:b/>
          <w:color w:val="0070C0"/>
          <w:spacing w:val="-2"/>
          <w:position w:val="0"/>
          <w:sz w:val="16"/>
          <w:shd w:fill="auto" w:val="clear"/>
        </w:rPr>
        <w:t xml:space="preserve"> 2019/1148)</w:t>
      </w:r>
    </w:p>
    <w:p>
      <w:pPr>
        <w:spacing w:before="97" w:after="0" w:line="288"/>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d’explosifs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UE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2019/1148</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commercialisation</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 l’utilisation des précurseurs d’explosifs)</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Règlement</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sur</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les</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précurseurs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w:t>
      </w:r>
      <w:r>
        <w:rPr>
          <w:rFonts w:ascii="Arial" w:hAnsi="Arial" w:cs="Arial" w:eastAsia="Arial"/>
          <w:b/>
          <w:color w:val="0070C0"/>
          <w:spacing w:val="0"/>
          <w:position w:val="0"/>
          <w:sz w:val="16"/>
          <w:shd w:fill="auto" w:val="clear"/>
        </w:rPr>
        <w:t xml:space="preserve">drogues</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(CE</w:t>
      </w:r>
      <w:r>
        <w:rPr>
          <w:rFonts w:ascii="Arial" w:hAnsi="Arial" w:cs="Arial" w:eastAsia="Arial"/>
          <w:b/>
          <w:color w:val="0070C0"/>
          <w:spacing w:val="-1"/>
          <w:position w:val="0"/>
          <w:sz w:val="16"/>
          <w:shd w:fill="auto" w:val="clear"/>
        </w:rPr>
        <w:t xml:space="preserve"> </w:t>
      </w:r>
      <w:r>
        <w:rPr>
          <w:rFonts w:ascii="Arial" w:hAnsi="Arial" w:cs="Arial" w:eastAsia="Arial"/>
          <w:b/>
          <w:color w:val="0070C0"/>
          <w:spacing w:val="-2"/>
          <w:position w:val="0"/>
          <w:sz w:val="16"/>
          <w:shd w:fill="auto" w:val="clear"/>
        </w:rPr>
        <w:t xml:space="preserve">273/2004)</w:t>
      </w:r>
    </w:p>
    <w:p>
      <w:pPr>
        <w:spacing w:before="120" w:after="0" w:line="240"/>
        <w:ind w:right="0" w:left="-567" w:firstLine="0"/>
        <w:jc w:val="left"/>
        <w:rPr>
          <w:rFonts w:ascii="Arial" w:hAnsi="Arial" w:cs="Arial" w:eastAsia="Arial"/>
          <w:b/>
          <w:color w:val="auto"/>
          <w:spacing w:val="0"/>
          <w:position w:val="0"/>
          <w:sz w:val="16"/>
          <w:shd w:fill="auto" w:val="clear"/>
        </w:rPr>
      </w:pPr>
      <w:r>
        <w:rPr>
          <w:rFonts w:ascii="Arial" w:hAnsi="Arial" w:cs="Arial" w:eastAsia="Arial"/>
          <w:color w:val="auto"/>
          <w:spacing w:val="0"/>
          <w:position w:val="0"/>
          <w:sz w:val="16"/>
          <w:shd w:fill="auto" w:val="clear"/>
        </w:rPr>
        <w:t xml:space="preserve">Ne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contient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pas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substance(s)</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listée(s)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dans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liste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précurseurs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drogues</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(Règlement</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CE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273/2004</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relatif</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fabrication</w:t>
      </w:r>
      <w:r>
        <w:rPr>
          <w:rFonts w:ascii="Arial" w:hAnsi="Arial" w:cs="Arial" w:eastAsia="Arial"/>
          <w:color w:val="auto"/>
          <w:spacing w:val="-3"/>
          <w:position w:val="0"/>
          <w:sz w:val="16"/>
          <w:shd w:fill="auto" w:val="clear"/>
        </w:rPr>
        <w:t xml:space="preserve"> </w:t>
      </w:r>
      <w:r>
        <w:rPr>
          <w:rFonts w:ascii="Arial" w:hAnsi="Arial" w:cs="Arial" w:eastAsia="Arial"/>
          <w:color w:val="auto"/>
          <w:spacing w:val="0"/>
          <w:position w:val="0"/>
          <w:sz w:val="16"/>
          <w:shd w:fill="auto" w:val="clear"/>
        </w:rPr>
        <w:t xml:space="preserve">et</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à</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la</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mise</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sur le marché de certaines substances utilisées pour la fabrication illicite de stupéfiants et de substances psychotropes).</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H226</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Flam. Liq.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Liquide et vapeurs inflammables.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H304</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Asp. Tox.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être mortel en cas d'ingestion et de pénétration dans les voies respiratoires.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par contact cutané.</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H315</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irritation cutanée.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H317</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Skin Sens 1B</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Peut provoquer une allergie cutanée.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H319</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Eye Irrit.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Provoque une sévère irritation des yeux.</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H360FD</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Repr. 1A</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Peut nuire au f</w:t>
            </w:r>
            <w:r>
              <w:rPr>
                <w:rFonts w:ascii="Arial" w:hAnsi="Arial" w:cs="Arial" w:eastAsia="Arial"/>
                <w:color w:val="auto"/>
                <w:spacing w:val="0"/>
                <w:position w:val="0"/>
                <w:sz w:val="16"/>
                <w:shd w:fill="auto" w:val="clear"/>
              </w:rPr>
              <w:t xml:space="preserve">œtus Peut nuire </w:t>
            </w:r>
            <w:r>
              <w:rPr>
                <w:rFonts w:ascii="Arial" w:hAnsi="Arial" w:cs="Arial" w:eastAsia="Arial"/>
                <w:color w:val="auto"/>
                <w:spacing w:val="0"/>
                <w:position w:val="0"/>
                <w:sz w:val="16"/>
                <w:shd w:fill="auto" w:val="clear"/>
              </w:rPr>
              <w:t xml:space="preserve">à la fertilité. Peut nuire au f</w:t>
            </w:r>
            <w:r>
              <w:rPr>
                <w:rFonts w:ascii="Arial" w:hAnsi="Arial" w:cs="Arial" w:eastAsia="Arial"/>
                <w:color w:val="auto"/>
                <w:spacing w:val="0"/>
                <w:position w:val="0"/>
                <w:sz w:val="16"/>
                <w:shd w:fill="auto" w:val="clear"/>
              </w:rPr>
              <w:t xml:space="preserve">œtus.</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H410</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1</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Très toxique pour les organismes aquatiques, entraîne des effets néfastes à long terme.</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H412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