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7"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sécurité</w:t>
      </w:r>
    </w:p>
    <w:p>
      <w:pPr>
        <w:tabs>
          <w:tab w:val="center" w:pos="1779" w:leader="none"/>
          <w:tab w:val="right" w:pos="9539"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10/05/2022</w:t>
        <w:tab/>
        <w:t xml:space="preserve">Révision : 001NEW-1-CLP du 10/05/2022</w:t>
      </w:r>
    </w:p>
    <w:p>
      <w:pPr>
        <w:keepNext w:val="true"/>
        <w:keepLines w:val="true"/>
        <w:spacing w:before="0" w:after="136" w:line="259"/>
        <w:ind w:right="5"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Anais Anais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Anais Anais 10%</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14" w:left="-5" w:hanging="10"/>
        <w:jc w:val="both"/>
        <w:rPr>
          <w:rFonts w:ascii="Arial" w:hAnsi="Arial" w:cs="Arial" w:eastAsia="Arial"/>
          <w:color w:val="000000"/>
          <w:spacing w:val="0"/>
          <w:position w:val="0"/>
          <w:sz w:val="20"/>
          <w:shd w:fill="auto" w:val="clear"/>
        </w:rPr>
      </w:pPr>
    </w:p>
    <w:p>
      <w:pPr>
        <w:spacing w:before="0" w:after="152"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methyl cedryl ketone (vertofix coeur), 2-(phenylmethylidene)octanal (alpha-hexyl cinnamaldehyde), benzyl </w:t>
      </w:r>
    </w:p>
    <w:p>
      <w:pPr>
        <w:spacing w:before="0" w:after="32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2-hydroxybenzoate (benzyl salicylate), 3-phenylprop-2-en-1-ol (cinnamyl alcohol), [cis-4-(propan-2-yl)cyclohexyl]methanol (mayol), (2E)-3,7-dimethylocta-2,6-dien-1-ol (geraniol), 3,7-dimethylocta-1,6-dien-3-yl acetate (linalyl acetate), 3,7dimethylocta-1,6-dien-3-ol (linalool), (2Z)-3,7-dimethylocta-2,6-dien-1-ol (nerol), reaction mass of 1-(1,2,3,4,5,6,7,8 and 1(1,2,3,4,6,7,8,8a and 1-(1,2,3,5,6,7,8,8a-octahydro-2,3,8,8-tetramethyl-2-naphthyl)ethan-1-one (iso e super).  Peut produire une réaction allergique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methyl cedryl ketone (vertofix coeur), 2-(phenylmethylidene)octanal (alpha-hexyl cinnamaldehyde), benzyl 2-hydroxybenzoate (benzyl salicylate), 3-phenylprop-2-en-1-ol (cinnamyl alcohol), [cis-4-(propan-2-yl)cyclohexyl] methanol (mayol), (2E)-3,7-dimethylocta-2,6-dien-1-ol (geraniol), 3,7-dimethylocta-1,6-dien-3-yl acetate (linalyl acetate), 3,7-dimethylocta-1,6-dien-3-ol (linalool), (2Z)-3,7-dimethylocta-2,6-dien-1-ol (nerol), reaction mass of 1(1,2,3,4,5,6,7,8 and 1-(1,2,3,4,6,7,8,8a and 1-(1,2,3,5,6,7,8,8a-octahydro-2,3,8,8-tetramethyl-2-naphthyl)ethan-1-one (iso e super).  Peut produire une réaction allergique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4"/>
        <w:gridCol w:w="990"/>
        <w:gridCol w:w="781"/>
        <w:gridCol w:w="2997"/>
        <w:gridCol w:w="1318"/>
      </w:tblGrid>
      <w:tr>
        <w:trPr>
          <w:trHeight w:val="341" w:hRule="auto"/>
          <w:jc w:val="left"/>
        </w:trPr>
        <w:tc>
          <w:tcPr>
            <w:tcW w:w="3514" w:type="dxa"/>
            <w:tcBorders>
              <w:top w:val="single" w:color="000000" w:sz="2"/>
              <w:left w:val="single" w:color="000000" w:sz="2"/>
              <w:bottom w:val="single" w:color="000000" w:sz="2"/>
              <w:right w:val="single" w:color="000000" w:sz="4"/>
            </w:tcBorders>
            <w:shd w:color="000000" w:fill="ffffff" w:val="clear"/>
            <w:tcMar>
              <w:left w:w="62" w:type="dxa"/>
              <w:right w:w="62" w:type="dxa"/>
            </w:tcMar>
            <w:vAlign w:val="top"/>
          </w:tcPr>
          <w:p>
            <w:pPr>
              <w:spacing w:before="0" w:after="0" w:line="259"/>
              <w:ind w:right="2" w:left="0" w:firstLine="0"/>
              <w:jc w:val="center"/>
              <w:rPr>
                <w:spacing w:val="0"/>
                <w:position w:val="0"/>
              </w:rPr>
            </w:pPr>
            <w:r>
              <w:rPr>
                <w:rFonts w:ascii="Arial" w:hAnsi="Arial" w:cs="Arial" w:eastAsia="Arial"/>
                <w:color w:val="000000"/>
                <w:spacing w:val="0"/>
                <w:position w:val="0"/>
                <w:sz w:val="16"/>
                <w:shd w:fill="auto" w:val="clear"/>
              </w:rPr>
              <w:t xml:space="preserve">Matière</w:t>
            </w:r>
          </w:p>
        </w:tc>
        <w:tc>
          <w:tcPr>
            <w:tcW w:w="990" w:type="dxa"/>
            <w:tcBorders>
              <w:top w:val="single" w:color="000000" w:sz="2"/>
              <w:left w:val="single" w:color="000000" w:sz="4"/>
              <w:bottom w:val="single" w:color="000000" w:sz="2"/>
              <w:right w:val="single" w:color="000000" w:sz="5"/>
            </w:tcBorders>
            <w:shd w:color="000000" w:fill="ffffff" w:val="clear"/>
            <w:tcMar>
              <w:left w:w="62" w:type="dxa"/>
              <w:right w:w="62" w:type="dxa"/>
            </w:tcMar>
            <w:vAlign w:val="top"/>
          </w:tcPr>
          <w:p>
            <w:pPr>
              <w:spacing w:before="0" w:after="0" w:line="259"/>
              <w:ind w:right="0" w:left="0" w:firstLine="0"/>
              <w:jc w:val="center"/>
              <w:rPr>
                <w:spacing w:val="0"/>
                <w:position w:val="0"/>
              </w:rPr>
            </w:pPr>
            <w:r>
              <w:rPr>
                <w:rFonts w:ascii="Arial" w:hAnsi="Arial" w:cs="Arial" w:eastAsia="Arial"/>
                <w:color w:val="000000"/>
                <w:spacing w:val="0"/>
                <w:position w:val="0"/>
                <w:sz w:val="16"/>
                <w:shd w:fill="auto" w:val="clear"/>
              </w:rPr>
              <w:t xml:space="preserve">C.A.S</w:t>
            </w:r>
          </w:p>
        </w:tc>
        <w:tc>
          <w:tcPr>
            <w:tcW w:w="781" w:type="dxa"/>
            <w:tcBorders>
              <w:top w:val="single" w:color="000000" w:sz="2"/>
              <w:left w:val="single" w:color="000000" w:sz="5"/>
              <w:bottom w:val="single" w:color="000000" w:sz="2"/>
              <w:right w:val="single" w:color="000000" w:sz="4"/>
            </w:tcBorders>
            <w:shd w:color="000000" w:fill="ffffff" w:val="clear"/>
            <w:tcMar>
              <w:left w:w="62" w:type="dxa"/>
              <w:right w:w="62" w:type="dxa"/>
            </w:tcMar>
            <w:vAlign w:val="top"/>
          </w:tcPr>
          <w:p>
            <w:pPr>
              <w:spacing w:before="0" w:after="0" w:line="259"/>
              <w:ind w:right="0" w:left="0" w:firstLine="0"/>
              <w:jc w:val="both"/>
              <w:rPr>
                <w:spacing w:val="0"/>
                <w:position w:val="0"/>
              </w:rPr>
            </w:pPr>
            <w:r>
              <w:rPr>
                <w:rFonts w:ascii="Arial" w:hAnsi="Arial" w:cs="Arial" w:eastAsia="Arial"/>
                <w:color w:val="000000"/>
                <w:spacing w:val="0"/>
                <w:position w:val="0"/>
                <w:sz w:val="16"/>
                <w:shd w:fill="auto" w:val="clear"/>
              </w:rPr>
              <w:t xml:space="preserve">EINECS</w:t>
            </w:r>
          </w:p>
        </w:tc>
        <w:tc>
          <w:tcPr>
            <w:tcW w:w="2997" w:type="dxa"/>
            <w:tcBorders>
              <w:top w:val="single" w:color="000000" w:sz="2"/>
              <w:left w:val="single" w:color="000000" w:sz="4"/>
              <w:bottom w:val="single" w:color="000000" w:sz="2"/>
              <w:right w:val="single" w:color="000000" w:sz="4"/>
            </w:tcBorders>
            <w:shd w:color="000000" w:fill="ffffff" w:val="clear"/>
            <w:tcMar>
              <w:left w:w="62" w:type="dxa"/>
              <w:right w:w="62" w:type="dxa"/>
            </w:tcMar>
            <w:vAlign w:val="top"/>
          </w:tcPr>
          <w:p>
            <w:pPr>
              <w:spacing w:before="0" w:after="0" w:line="259"/>
              <w:ind w:right="0" w:left="0" w:firstLine="0"/>
              <w:jc w:val="center"/>
              <w:rPr>
                <w:spacing w:val="0"/>
                <w:position w:val="0"/>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000000" w:sz="2"/>
              <w:right w:val="single" w:color="000000" w:sz="2"/>
            </w:tcBorders>
            <w:shd w:color="000000" w:fill="ffffff" w:val="clear"/>
            <w:tcMar>
              <w:left w:w="62" w:type="dxa"/>
              <w:right w:w="62" w:type="dxa"/>
            </w:tcMar>
            <w:vAlign w:val="top"/>
          </w:tcPr>
          <w:p>
            <w:pPr>
              <w:spacing w:before="0" w:after="0" w:line="259"/>
              <w:ind w:right="0" w:left="18" w:firstLine="0"/>
              <w:jc w:val="left"/>
              <w:rPr>
                <w:spacing w:val="0"/>
                <w:position w:val="0"/>
              </w:rPr>
            </w:pPr>
            <w:r>
              <w:rPr>
                <w:rFonts w:ascii="Arial" w:hAnsi="Arial" w:cs="Arial" w:eastAsia="Arial"/>
                <w:color w:val="000000"/>
                <w:spacing w:val="0"/>
                <w:position w:val="0"/>
                <w:sz w:val="16"/>
                <w:shd w:fill="auto" w:val="clear"/>
              </w:rPr>
              <w:t xml:space="preserve">Pourcentage %</w:t>
            </w:r>
          </w:p>
        </w:tc>
      </w:tr>
      <w:tr>
        <w:trPr>
          <w:trHeight w:val="476"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(2E)-3,7-dimethylocta-2,6-dien-1-ol (geraniol)</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(No REACH : 01-2119552430-49-XXXX)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106-24-1</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203-377-1</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Dam. 1, Skin Irrit. 2, Skin Sens. 1 H315, H317, H318</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5"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(2Z)-3,7-dimethylocta-2,6-dien-1-ol (nerol)   (No</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REACH : 01-2119983244-33-XXXX)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106-25-2</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203-378-7</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1-(3,5,5,6,8,8-hexamethyl-6,7-dihydronaphthale n-2-yl)ethanone (fixolide)   (No REACH :</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01-2119539433-40-0000)</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1506-02-1</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216-133-4</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 w:firstLine="0"/>
              <w:jc w:val="both"/>
              <w:rPr>
                <w:spacing w:val="0"/>
                <w:position w:val="0"/>
              </w:rPr>
            </w:pPr>
            <w:r>
              <w:rPr>
                <w:rFonts w:ascii="Arial" w:hAnsi="Arial" w:cs="Arial" w:eastAsia="Arial"/>
                <w:color w:val="000000"/>
                <w:spacing w:val="0"/>
                <w:position w:val="0"/>
                <w:sz w:val="16"/>
                <w:shd w:fill="auto" w:val="clear"/>
              </w:rPr>
              <w:t xml:space="preserve">Acute Tox. 4, Aquatic Acute 1, Aquatic Chronic 1 - H302, H410</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666"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2-(phenylmethylidene)octanal (alpha-hexyl cinnamaldehyde)   (No REACH :</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01-2119533092-50-XXXX)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101-86-0</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202-983-3</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37" w:left="2" w:firstLine="0"/>
              <w:jc w:val="left"/>
              <w:rPr>
                <w:spacing w:val="0"/>
                <w:position w:val="0"/>
              </w:rPr>
            </w:pPr>
            <w:r>
              <w:rPr>
                <w:rFonts w:ascii="Arial" w:hAnsi="Arial" w:cs="Arial" w:eastAsia="Arial"/>
                <w:color w:val="000000"/>
                <w:spacing w:val="0"/>
                <w:position w:val="0"/>
                <w:sz w:val="16"/>
                <w:shd w:fill="auto" w:val="clear"/>
              </w:rPr>
              <w:t xml:space="preserve">Aquatic Acute 1, Aquatic Chronic 2, Skin Sens. 1B - H317, H400, H411</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REACH : 01-2119474016-42-XXXX)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78-70-6</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201-134-4</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664"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115-95-7</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9" w:firstLine="0"/>
              <w:jc w:val="left"/>
              <w:rPr>
                <w:spacing w:val="0"/>
                <w:position w:val="0"/>
              </w:rPr>
            </w:pPr>
            <w:r>
              <w:rPr>
                <w:rFonts w:ascii="Arial" w:hAnsi="Arial" w:cs="Arial" w:eastAsia="Arial"/>
                <w:color w:val="000000"/>
                <w:spacing w:val="0"/>
                <w:position w:val="0"/>
                <w:sz w:val="14"/>
                <w:shd w:fill="auto" w:val="clear"/>
              </w:rPr>
              <w:t xml:space="preserve">204-116-4</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3-(1,3-benzodioxol-5-yl)-2-methylpropanal (helional) (Repr. 2)   (No REACH :</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01-2120740119-58-0000)</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1205-17-0</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214-881-6</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Aquatic Chronic 2, Repr. 2, Skin Sens. 1B - H317, H361, H411</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3-phenylprop-2-en-1-ol (cinnamyl alcohol)   (No</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REACH : 01-2119934496-29-XXXX)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104-54-1</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203-212-3</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Acute Tox. 4, Skin Sens. 1B - H302, H317</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[(Z)-hex-3-enyl] 2-hydroxybenzoate</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(cis-3-hexenyl salicylate)   (No REACH :</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01-2119987320-37-XXXX)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65405-77-8</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265-745-8</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Aquatic Acute 1, Aquatic Chronic 2 H400, H411</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[cis-4-(propan-2-yl)cyclohexyl]methanol (mayol)</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  (No REACH : 01-2119983532-32-XXXX)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13828-37-0</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237-539-8</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5"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benzyl 2-hydroxybenzoate (benzyl salicylate) (No REACH : 01-2119969442-31-XXXX)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118-58-1</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204-262-9</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Aquatic Chronic 3, Skin Sens. 1B - H317, H319, H412</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4"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benzyl acetate   (No REACH : 01-2119638272-42-XXXX)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140-11-4</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205-399-7</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Aquatic Chronic 3 - H412</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4"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methyl cedryl ketone (vertofix coeur)   (No REACH : 01-2119969651-28-XXXX)</w:t>
            </w:r>
          </w:p>
        </w:tc>
        <w:tc>
          <w:tcPr>
            <w:tcW w:w="990"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32388-55-9</w:t>
            </w:r>
          </w:p>
        </w:tc>
        <w:tc>
          <w:tcPr>
            <w:tcW w:w="78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251-020-3</w:t>
            </w:r>
          </w:p>
        </w:tc>
        <w:tc>
          <w:tcPr>
            <w:tcW w:w="2997"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37" w:left="2" w:firstLine="0"/>
              <w:jc w:val="left"/>
              <w:rPr>
                <w:spacing w:val="0"/>
                <w:position w:val="0"/>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r>
        <w:trPr>
          <w:trHeight w:val="1015" w:hRule="auto"/>
          <w:jc w:val="left"/>
        </w:trPr>
        <w:tc>
          <w:tcPr>
            <w:tcW w:w="3514" w:type="dxa"/>
            <w:tcBorders>
              <w:top w:val="single" w:color="c0c0c0" w:sz="2"/>
              <w:left w:val="single" w:color="c0c0c0" w:sz="2"/>
              <w:bottom w:val="single" w:color="c0c0c0" w:sz="3"/>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REACH : 01-2119489989-04-XXXX)</w:t>
            </w:r>
          </w:p>
        </w:tc>
        <w:tc>
          <w:tcPr>
            <w:tcW w:w="990" w:type="dxa"/>
            <w:tcBorders>
              <w:top w:val="single" w:color="c0c0c0" w:sz="2"/>
              <w:left w:val="single" w:color="c0c0c0" w:sz="4"/>
              <w:bottom w:val="single" w:color="c0c0c0" w:sz="3"/>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rPr>
            </w:pPr>
            <w:r>
              <w:rPr>
                <w:rFonts w:ascii="Arial" w:hAnsi="Arial" w:cs="Arial" w:eastAsia="Arial"/>
                <w:color w:val="000000"/>
                <w:spacing w:val="0"/>
                <w:position w:val="0"/>
                <w:sz w:val="14"/>
                <w:shd w:fill="auto" w:val="clear"/>
              </w:rPr>
              <w:t xml:space="preserve">54464-57-2</w:t>
            </w:r>
          </w:p>
        </w:tc>
        <w:tc>
          <w:tcPr>
            <w:tcW w:w="781" w:type="dxa"/>
            <w:tcBorders>
              <w:top w:val="single" w:color="c0c0c0" w:sz="2"/>
              <w:left w:val="single" w:color="c0c0c0" w:sz="4"/>
              <w:bottom w:val="single" w:color="c0c0c0" w:sz="3"/>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rPr>
            </w:pPr>
            <w:r>
              <w:rPr>
                <w:rFonts w:ascii="Arial" w:hAnsi="Arial" w:cs="Arial" w:eastAsia="Arial"/>
                <w:color w:val="000000"/>
                <w:spacing w:val="0"/>
                <w:position w:val="0"/>
                <w:sz w:val="14"/>
                <w:shd w:fill="auto" w:val="clear"/>
              </w:rPr>
              <w:t xml:space="preserve">915-730-3</w:t>
            </w:r>
          </w:p>
        </w:tc>
        <w:tc>
          <w:tcPr>
            <w:tcW w:w="2997" w:type="dxa"/>
            <w:tcBorders>
              <w:top w:val="single" w:color="c0c0c0" w:sz="2"/>
              <w:left w:val="single" w:color="c0c0c0" w:sz="4"/>
              <w:bottom w:val="single" w:color="c0c0c0" w:sz="3"/>
              <w:right w:val="single" w:color="c0c0c0" w:sz="4"/>
            </w:tcBorders>
            <w:shd w:color="000000" w:fill="ffffff" w:val="clear"/>
            <w:tcMar>
              <w:left w:w="62" w:type="dxa"/>
              <w:right w:w="62" w:type="dxa"/>
            </w:tcMar>
            <w:vAlign w:val="center"/>
          </w:tcPr>
          <w:p>
            <w:pPr>
              <w:spacing w:before="0" w:after="0" w:line="259"/>
              <w:ind w:right="0" w:left="2" w:firstLine="0"/>
              <w:jc w:val="left"/>
              <w:rPr>
                <w:spacing w:val="0"/>
                <w:position w:val="0"/>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rPr>
            </w:pPr>
            <w:r>
              <w:rPr>
                <w:rFonts w:ascii="Arial" w:hAnsi="Arial" w:cs="Arial" w:eastAsia="Arial"/>
                <w:color w:val="000000"/>
                <w:spacing w:val="0"/>
                <w:position w:val="0"/>
                <w:sz w:val="16"/>
                <w:shd w:fill="auto" w:val="clear"/>
              </w:rPr>
              <w:t xml:space="preserve">[ 0-5 ]</w:t>
            </w:r>
          </w:p>
        </w:tc>
      </w:tr>
    </w:tbl>
    <w:p>
      <w:pPr>
        <w:spacing w:before="0" w:after="957"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67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2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5"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70"/>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70"/>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097"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68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47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575"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0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17"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84" w:line="265"/>
        <w:ind w:right="19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1528"/>
      </w:tblGrid>
      <w:tr>
        <w:trPr>
          <w:trHeight w:val="61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Couleur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Odeur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Point de fusion/point de congélation (@1 atm.)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déterminé</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Inflammabilité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déterminé</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Limites inférieure et supérieure d’explosion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rPr>
            </w:pPr>
            <w:r>
              <w:rPr>
                <w:rFonts w:ascii="Tahoma" w:hAnsi="Tahoma" w:cs="Tahoma" w:eastAsia="Tahoma"/>
                <w:b/>
                <w:color w:val="000000"/>
                <w:spacing w:val="0"/>
                <w:position w:val="0"/>
                <w:sz w:val="18"/>
                <w:shd w:fill="auto" w:val="clear"/>
              </w:rPr>
              <w:t xml:space="preserve">non déterminées</w:t>
            </w:r>
          </w:p>
        </w:tc>
      </w:tr>
      <w:tr>
        <w:trPr>
          <w:trHeight w:val="27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color w:val="000000"/>
                <w:spacing w:val="0"/>
                <w:position w:val="0"/>
                <w:sz w:val="18"/>
                <w:shd w:fill="auto" w:val="clear"/>
              </w:rPr>
              <w:t xml:space="preserve">Point d’éclair (°C)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&gt;100°</w:t>
            </w:r>
          </w:p>
        </w:tc>
      </w:tr>
    </w:tbl>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3152"/>
        <w:gridCol w:w="3463"/>
        <w:gridCol w:w="3025"/>
      </w:tblGrid>
      <w:tr>
        <w:trPr>
          <w:trHeight w:val="524" w:hRule="auto"/>
          <w:jc w:val="left"/>
        </w:trPr>
        <w:tc>
          <w:tcPr>
            <w:tcW w:w="9640" w:type="dxa"/>
            <w:gridSpan w:val="3"/>
            <w:tcBorders>
              <w:top w:val="single" w:color="7f7f7f" w:sz="2"/>
              <w:left w:val="single" w:color="7f7f7f" w:sz="2"/>
              <w:bottom w:val="single" w:color="7f7f7f" w:sz="2"/>
              <w:right w:val="single" w:color="7f7f7f" w:sz="2"/>
            </w:tcBorders>
            <w:shd w:color="auto" w:fill="e0e0e0" w:val="clear"/>
            <w:tcMar>
              <w:left w:w="0" w:type="dxa"/>
              <w:right w:w="0" w:type="dxa"/>
            </w:tcMar>
            <w:vAlign w:val="top"/>
          </w:tcPr>
          <w:p>
            <w:pPr>
              <w:spacing w:before="0" w:after="0" w:line="259"/>
              <w:ind w:right="0" w:left="3" w:firstLine="0"/>
              <w:jc w:val="center"/>
              <w:rPr>
                <w:spacing w:val="0"/>
                <w:position w:val="0"/>
              </w:rPr>
            </w:pPr>
            <w:r>
              <w:rPr>
                <w:rFonts w:ascii="Arial" w:hAnsi="Arial" w:cs="Arial" w:eastAsia="Arial"/>
                <w:b/>
                <w:color w:val="000000"/>
                <w:spacing w:val="0"/>
                <w:position w:val="0"/>
                <w:sz w:val="36"/>
                <w:shd w:fill="auto" w:val="clear"/>
              </w:rPr>
              <w:t xml:space="preserve">Fiche de données de sécurité</w:t>
            </w:r>
          </w:p>
        </w:tc>
      </w:tr>
      <w:tr>
        <w:trPr>
          <w:trHeight w:val="412" w:hRule="auto"/>
          <w:jc w:val="left"/>
        </w:trPr>
        <w:tc>
          <w:tcPr>
            <w:tcW w:w="3152" w:type="dxa"/>
            <w:tcBorders>
              <w:top w:val="single" w:color="7f7f7f" w:sz="2"/>
              <w:left w:val="single" w:color="000000" w:sz="0"/>
              <w:bottom w:val="single" w:color="000000" w:sz="0"/>
              <w:right w:val="single" w:color="000000" w:sz="0"/>
            </w:tcBorders>
            <w:shd w:color="000000" w:fill="ffffff" w:val="clear"/>
            <w:tcMar>
              <w:left w:w="0" w:type="dxa"/>
              <w:right w:w="0" w:type="dxa"/>
            </w:tcMar>
            <w:vAlign w:val="center"/>
          </w:tcPr>
          <w:p>
            <w:pPr>
              <w:tabs>
                <w:tab w:val="center" w:pos="1834" w:leader="none"/>
              </w:tabs>
              <w:spacing w:before="0" w:after="0" w:line="259"/>
              <w:ind w:right="0" w:left="0" w:firstLine="0"/>
              <w:jc w:val="left"/>
              <w:rPr>
                <w:spacing w:val="0"/>
                <w:position w:val="0"/>
              </w:rPr>
            </w:pPr>
            <w:r>
              <w:rPr>
                <w:rFonts w:ascii="Arial" w:hAnsi="Arial" w:cs="Arial" w:eastAsia="Arial"/>
                <w:color w:val="000000"/>
                <w:spacing w:val="0"/>
                <w:position w:val="0"/>
                <w:sz w:val="16"/>
                <w:shd w:fill="auto" w:val="clear"/>
              </w:rPr>
              <w:t xml:space="preserve">Édité le :</w:t>
              <w:tab/>
              <w:t xml:space="preserve">10/05/2022</w:t>
            </w:r>
          </w:p>
        </w:tc>
        <w:tc>
          <w:tcPr>
            <w:tcW w:w="3463" w:type="dxa"/>
            <w:tcBorders>
              <w:top w:val="single" w:color="7f7f7f" w:sz="2"/>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88" w:firstLine="0"/>
              <w:jc w:val="left"/>
              <w:rPr>
                <w:spacing w:val="0"/>
                <w:position w:val="0"/>
              </w:rPr>
            </w:pPr>
            <w:r>
              <w:rPr>
                <w:rFonts w:ascii="Arial" w:hAnsi="Arial" w:cs="Arial" w:eastAsia="Arial"/>
                <w:color w:val="000000"/>
                <w:spacing w:val="0"/>
                <w:position w:val="0"/>
                <w:sz w:val="16"/>
                <w:shd w:fill="auto" w:val="clear"/>
              </w:rPr>
              <w:t xml:space="preserve">Anais Anais  10%</w:t>
            </w:r>
          </w:p>
        </w:tc>
        <w:tc>
          <w:tcPr>
            <w:tcW w:w="3025" w:type="dxa"/>
            <w:tcBorders>
              <w:top w:val="single" w:color="7f7f7f" w:sz="2"/>
              <w:left w:val="single" w:color="000000" w:sz="0"/>
              <w:bottom w:val="single" w:color="000000" w:sz="0"/>
              <w:right w:val="single" w:color="000000" w:sz="0"/>
            </w:tcBorders>
            <w:shd w:color="000000" w:fill="ffffff" w:val="clear"/>
            <w:tcMar>
              <w:left w:w="0" w:type="dxa"/>
              <w:right w:w="0" w:type="dxa"/>
            </w:tcMar>
            <w:vAlign w:val="center"/>
          </w:tcPr>
          <w:p>
            <w:pPr>
              <w:spacing w:before="0" w:after="0" w:line="259"/>
              <w:ind w:right="0" w:left="0" w:firstLine="0"/>
              <w:jc w:val="both"/>
              <w:rPr>
                <w:spacing w:val="0"/>
                <w:position w:val="0"/>
              </w:rPr>
            </w:pPr>
            <w:r>
              <w:rPr>
                <w:rFonts w:ascii="Arial" w:hAnsi="Arial" w:cs="Arial" w:eastAsia="Arial"/>
                <w:color w:val="000000"/>
                <w:spacing w:val="0"/>
                <w:position w:val="0"/>
                <w:sz w:val="16"/>
                <w:shd w:fill="auto" w:val="clear"/>
              </w:rPr>
              <w:t xml:space="preserve">Révision : 001NEW-1-CLP du 10/05/2022</w:t>
            </w:r>
          </w:p>
        </w:tc>
      </w:tr>
      <w:tr>
        <w:trPr>
          <w:trHeight w:val="346"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Température d'auto-inflammation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4"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Température de décomposition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applicable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670"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pH :</w:t>
            </w:r>
          </w:p>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Viscosité cinématique (mm²/s)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887"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Solubilité (@20°C) :</w:t>
            </w:r>
          </w:p>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Coefficient de partage n-octanol/eau (valeur log)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applicable (mélange)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5"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Pression de vapeur (mmHg @20°C)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885"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18" w:line="240"/>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Densité et/ou densité relative (@20° C-1 atm.) :</w:t>
            </w:r>
          </w:p>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Densité de vapeur relative (@20°C)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bottom"/>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429" w:hRule="auto"/>
          <w:jc w:val="left"/>
        </w:trPr>
        <w:tc>
          <w:tcPr>
            <w:tcW w:w="31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Caractéristiques des particules :</w:t>
            </w:r>
          </w:p>
        </w:tc>
        <w:tc>
          <w:tcPr>
            <w:tcW w:w="34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rPr>
            </w:pPr>
            <w:r>
              <w:rPr>
                <w:rFonts w:ascii="Tahoma" w:hAnsi="Tahoma" w:cs="Tahoma" w:eastAsia="Tahoma"/>
                <w:b/>
                <w:color w:val="000000"/>
                <w:spacing w:val="0"/>
                <w:position w:val="0"/>
                <w:sz w:val="18"/>
                <w:shd w:fill="auto" w:val="clear"/>
              </w:rPr>
              <w:t xml:space="preserve">non applicable (liquide)</w:t>
            </w:r>
          </w:p>
        </w:tc>
        <w:tc>
          <w:tcPr>
            <w:tcW w:w="3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440" w:hRule="auto"/>
          <w:jc w:val="left"/>
        </w:trPr>
        <w:tc>
          <w:tcPr>
            <w:tcW w:w="3152" w:type="dxa"/>
            <w:tcBorders>
              <w:top w:val="single" w:color="000000" w:sz="0"/>
              <w:left w:val="single" w:color="000000" w:sz="0"/>
              <w:bottom w:val="single" w:color="7f7f7f" w:sz="2"/>
              <w:right w:val="single" w:color="000000" w:sz="0"/>
            </w:tcBorders>
            <w:shd w:color="000000" w:fill="ffffff" w:val="clear"/>
            <w:tcMar>
              <w:left w:w="0" w:type="dxa"/>
              <w:right w:w="0" w:type="dxa"/>
            </w:tcMar>
            <w:vAlign w:val="top"/>
          </w:tcPr>
          <w:p>
            <w:pPr>
              <w:spacing w:before="0" w:after="163"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Indice de réfraction (@20°C) :</w:t>
            </w:r>
          </w:p>
          <w:p>
            <w:pPr>
              <w:spacing w:before="0" w:after="0" w:line="259"/>
              <w:ind w:right="0" w:left="56" w:firstLine="0"/>
              <w:jc w:val="left"/>
              <w:rPr>
                <w:spacing w:val="0"/>
                <w:position w:val="0"/>
              </w:rPr>
            </w:pPr>
            <w:r>
              <w:rPr>
                <w:rFonts w:ascii="Tahoma" w:hAnsi="Tahoma" w:cs="Tahoma" w:eastAsia="Tahoma"/>
                <w:color w:val="000000"/>
                <w:spacing w:val="0"/>
                <w:position w:val="0"/>
                <w:sz w:val="18"/>
                <w:shd w:fill="auto" w:val="clear"/>
              </w:rPr>
              <w:t xml:space="preserve">Conditions de stockage :</w:t>
            </w:r>
          </w:p>
        </w:tc>
        <w:tc>
          <w:tcPr>
            <w:tcW w:w="3463" w:type="dxa"/>
            <w:tcBorders>
              <w:top w:val="single" w:color="000000" w:sz="0"/>
              <w:left w:val="single" w:color="000000" w:sz="0"/>
              <w:bottom w:val="single" w:color="7f7f7f" w:sz="2"/>
              <w:right w:val="single" w:color="000000" w:sz="0"/>
            </w:tcBorders>
            <w:shd w:color="000000" w:fill="ffffff" w:val="clear"/>
            <w:tcMar>
              <w:left w:w="0" w:type="dxa"/>
              <w:right w:w="0" w:type="dxa"/>
            </w:tcMar>
            <w:vAlign w:val="bottom"/>
          </w:tcPr>
          <w:p>
            <w:pPr>
              <w:spacing w:before="0" w:after="0" w:line="259"/>
              <w:ind w:right="-2557" w:left="0" w:firstLine="0"/>
              <w:jc w:val="both"/>
              <w:rPr>
                <w:spacing w:val="0"/>
                <w:position w:val="0"/>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c>
          <w:tcPr>
            <w:tcW w:w="3025" w:type="dxa"/>
            <w:tcBorders>
              <w:top w:val="single" w:color="000000" w:sz="0"/>
              <w:left w:val="single" w:color="000000" w:sz="0"/>
              <w:bottom w:val="single" w:color="7f7f7f" w:sz="2"/>
              <w:right w:val="single" w:color="000000" w:sz="0"/>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9640" w:type="dxa"/>
            <w:gridSpan w:val="3"/>
            <w:tcBorders>
              <w:top w:val="single" w:color="7f7f7f" w:sz="2"/>
              <w:left w:val="single" w:color="7f7f7f" w:sz="2"/>
              <w:bottom w:val="single" w:color="7f7f7f" w:sz="2"/>
              <w:right w:val="single" w:color="7f7f7f" w:sz="2"/>
            </w:tcBorders>
            <w:shd w:color="auto" w:fill="e0e0e0" w:val="clear"/>
            <w:tcMar>
              <w:left w:w="0" w:type="dxa"/>
              <w:right w:w="0" w:type="dxa"/>
            </w:tcMar>
            <w:vAlign w:val="top"/>
          </w:tcPr>
          <w:p>
            <w:pPr>
              <w:spacing w:before="0" w:after="0" w:line="259"/>
              <w:ind w:right="0" w:left="56" w:firstLine="0"/>
              <w:jc w:val="left"/>
              <w:rPr>
                <w:spacing w:val="0"/>
                <w:position w:val="0"/>
                <w:sz w:val="22"/>
              </w:rPr>
            </w:pPr>
            <w:r>
              <w:rPr>
                <w:rFonts w:ascii="Arial" w:hAnsi="Arial" w:cs="Arial" w:eastAsia="Arial"/>
                <w:color w:val="000000"/>
                <w:spacing w:val="0"/>
                <w:position w:val="0"/>
                <w:sz w:val="22"/>
                <w:shd w:fill="auto" w:val="clear"/>
              </w:rPr>
              <w:t xml:space="preserve">10: STABILITE ET REACTIVITE</w:t>
            </w:r>
          </w:p>
        </w:tc>
      </w:tr>
    </w:tbl>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78"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Sources directes de chaleur.</w:t>
      </w:r>
    </w:p>
    <w:p>
      <w:pPr>
        <w:spacing w:before="0" w:after="545" w:line="425"/>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1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317"/>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317"/>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317"/>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317"/>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317"/>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317"/>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317"/>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317"/>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317"/>
        </w:numPr>
        <w:spacing w:before="0" w:after="922"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rPr>
            </w:pPr>
            <w:r>
              <w:rPr>
                <w:rFonts w:ascii="Arial" w:hAnsi="Arial" w:cs="Arial" w:eastAsia="Arial"/>
                <w:b/>
                <w:color w:val="000000"/>
                <w:spacing w:val="0"/>
                <w:position w:val="0"/>
                <w:sz w:val="36"/>
                <w:shd w:fill="auto" w:val="clear"/>
              </w:rPr>
              <w:t xml:space="preserve">Fiche de données de sécurité</w:t>
            </w:r>
          </w:p>
        </w:tc>
      </w:tr>
      <w:tr>
        <w:trPr>
          <w:trHeight w:val="2267"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21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10/05/2022</w:t>
              <w:tab/>
              <w:t xml:space="preserve">Anais Anais  10%</w:t>
            </w:r>
          </w:p>
          <w:p>
            <w:pPr>
              <w:spacing w:before="0" w:after="221" w:line="240"/>
              <w:ind w:right="1511"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11.2.1. Propriétés perturbant le système endocrinien: pas de données à ce jour.</w:t>
            </w:r>
          </w:p>
          <w:p>
            <w:pPr>
              <w:spacing w:before="0" w:after="0" w:line="259"/>
              <w:ind w:right="3747" w:left="56" w:firstLine="0"/>
              <w:jc w:val="left"/>
              <w:rPr>
                <w:spacing w:val="0"/>
                <w:position w:val="0"/>
              </w:rPr>
            </w:pPr>
            <w:r>
              <w:rPr>
                <w:rFonts w:ascii="Arial" w:hAnsi="Arial" w:cs="Arial" w:eastAsia="Arial"/>
                <w:color w:val="000000"/>
                <w:spacing w:val="0"/>
                <w:position w:val="0"/>
                <w:sz w:val="20"/>
                <w:shd w:fill="auto" w:val="clear"/>
              </w:rPr>
              <w:t xml:space="preserve">11.2.2. Autres informations: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rPr>
            </w:pPr>
            <w:r>
              <w:rPr>
                <w:rFonts w:ascii="Arial" w:hAnsi="Arial" w:cs="Arial" w:eastAsia="Arial"/>
                <w:color w:val="000000"/>
                <w:spacing w:val="0"/>
                <w:position w:val="0"/>
                <w:sz w:val="16"/>
                <w:shd w:fill="auto" w:val="clear"/>
              </w:rPr>
              <w:t xml:space="preserve">Révision : 001NEW-1-CLP du 10/05/2022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rPr>
            </w:pPr>
            <w:r>
              <w:rPr>
                <w:rFonts w:ascii="Arial" w:hAnsi="Arial" w:cs="Arial" w:eastAsia="Arial"/>
                <w:color w:val="000000"/>
                <w:spacing w:val="0"/>
                <w:position w:val="0"/>
                <w:sz w:val="22"/>
                <w:shd w:fill="auto" w:val="clear"/>
              </w:rPr>
              <w:t xml:space="preserve">12: INFORMATIONS ECOLOGIQUES</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numPr>
          <w:ilvl w:val="0"/>
          <w:numId w:val="333"/>
        </w:numPr>
        <w:spacing w:before="0" w:after="156" w:line="265"/>
        <w:ind w:right="5502" w:left="720"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w:t>
      </w:r>
    </w:p>
    <w:p>
      <w:pPr>
        <w:spacing w:before="0" w:after="701"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numPr>
          <w:ilvl w:val="0"/>
          <w:numId w:val="335"/>
        </w:numPr>
        <w:spacing w:before="0" w:after="545" w:line="425"/>
        <w:ind w:right="5502" w:left="720"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Persistance et dégradabilitéPas de données à ce jour.</w:t>
      </w:r>
    </w:p>
    <w:p>
      <w:pPr>
        <w:numPr>
          <w:ilvl w:val="0"/>
          <w:numId w:val="335"/>
        </w:numPr>
        <w:spacing w:before="0" w:after="542" w:line="427"/>
        <w:ind w:right="5502" w:left="720"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Potentiel de bioaccumulationPas de données à ce jour.</w:t>
      </w:r>
    </w:p>
    <w:p>
      <w:pPr>
        <w:numPr>
          <w:ilvl w:val="0"/>
          <w:numId w:val="335"/>
        </w:numPr>
        <w:spacing w:before="0" w:after="540" w:line="427"/>
        <w:ind w:right="5502" w:left="720"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Mobilité dans le solPas de données à ce jour.</w:t>
      </w:r>
    </w:p>
    <w:p>
      <w:pPr>
        <w:numPr>
          <w:ilvl w:val="0"/>
          <w:numId w:val="335"/>
        </w:numPr>
        <w:spacing w:before="0" w:after="542" w:line="427"/>
        <w:ind w:right="5502" w:left="720"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Résultats des évaluations PBT et vPvBPas de données à ce jour.</w:t>
      </w:r>
    </w:p>
    <w:p>
      <w:pPr>
        <w:numPr>
          <w:ilvl w:val="0"/>
          <w:numId w:val="335"/>
        </w:numPr>
        <w:spacing w:before="0" w:after="542" w:line="427"/>
        <w:ind w:right="5502" w:left="720"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endocrinienPas de données à ce jour.</w:t>
      </w:r>
    </w:p>
    <w:p>
      <w:pPr>
        <w:numPr>
          <w:ilvl w:val="0"/>
          <w:numId w:val="335"/>
        </w:numPr>
        <w:spacing w:before="0" w:after="614" w:line="425"/>
        <w:ind w:right="5502" w:left="720"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effets néfastesPas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13: CONSIDERATIONS RELATIVES A L'ELIMINATION</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8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8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1"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1"/>
        <w:ind w:right="716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81"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16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16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3" w:line="265"/>
        <w:ind w:right="0" w:left="747" w:hanging="10"/>
        <w:jc w:val="both"/>
        <w:rPr>
          <w:rFonts w:ascii="Arial" w:hAnsi="Arial" w:cs="Arial" w:eastAsia="Arial"/>
          <w:color w:val="000000"/>
          <w:spacing w:val="0"/>
          <w:position w:val="0"/>
          <w:sz w:val="20"/>
          <w:shd w:fill="auto" w:val="clear"/>
        </w:rPr>
      </w:pPr>
    </w:p>
    <w:p>
      <w:pPr>
        <w:spacing w:before="0" w:after="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2"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9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679"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227"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H318</w:t>
        <w:tab/>
        <w:t xml:space="preserve">Provoque de graves lésions des yeux.</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spacing w:before="0" w:after="87" w:line="265"/>
        <w:ind w:right="0" w:left="1684" w:hanging="1699"/>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H361</w:t>
        <w:tab/>
        <w:t xml:space="preserve">Susceptible de nuire à la fertilité ou au f</w:t>
      </w:r>
      <w:r>
        <w:rPr>
          <w:rFonts w:ascii="Arial" w:hAnsi="Arial" w:cs="Arial" w:eastAsia="Arial"/>
          <w:color w:val="000000"/>
          <w:spacing w:val="0"/>
          <w:position w:val="0"/>
          <w:sz w:val="18"/>
          <w:shd w:fill="auto" w:val="clear"/>
        </w:rPr>
        <w:t xml:space="preserve">œtus &lt;indiquer l'effet s'il est connu&gt; &lt;indiquer la voie d'exposition s'il est formellement prouv</w:t>
      </w:r>
      <w:r>
        <w:rPr>
          <w:rFonts w:ascii="Arial" w:hAnsi="Arial" w:cs="Arial" w:eastAsia="Arial"/>
          <w:color w:val="000000"/>
          <w:spacing w:val="0"/>
          <w:position w:val="0"/>
          <w:sz w:val="18"/>
          <w:shd w:fill="auto" w:val="clear"/>
        </w:rPr>
        <w:t xml:space="preserve">é qu'aucune autre voie d'exposition ne conduit au même danger&gt;.</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tabs>
          <w:tab w:val="center" w:pos="4940"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70">
    <w:abstractNumId w:val="18"/>
  </w:num>
  <w:num w:numId="317">
    <w:abstractNumId w:val="12"/>
  </w:num>
  <w:num w:numId="333">
    <w:abstractNumId w:val="6"/>
  </w:num>
  <w:num w:numId="3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