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 : Identification de la substance/du mélange et de la société/de l’entreprise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984806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173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1.1. Identificateur de produit</w:t>
            </w:r>
          </w:p>
        </w:tc>
      </w:tr>
    </w:tbl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Nom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MONOÏ ABRICOT 7</w:t>
      </w:r>
      <w:r>
        <w:rPr>
          <w:rFonts w:ascii="Arial" w:hAnsi="Arial" w:cs="Arial" w:eastAsia="Arial"/>
          <w:b/>
          <w:color w:val="auto"/>
          <w:spacing w:val="-2"/>
          <w:position w:val="0"/>
          <w:sz w:val="16"/>
          <w:shd w:fill="auto" w:val="clear"/>
        </w:rPr>
        <w:t xml:space="preserve">%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1.2. Utilisations identifiées pertinentes de la substance ou du mélange et utilisations déconseillées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tabs>
          <w:tab w:val="left" w:pos="565" w:leader="none"/>
        </w:tabs>
        <w:spacing w:before="120" w:after="0" w:line="240"/>
        <w:ind w:right="0" w:left="564" w:hanging="445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Utilisations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identifiées</w:t>
      </w:r>
      <w:r>
        <w:rPr>
          <w:rFonts w:ascii="Arial" w:hAnsi="Arial" w:cs="Arial" w:eastAsia="Arial"/>
          <w:b/>
          <w:color w:val="0070C0"/>
          <w:spacing w:val="-7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70C0"/>
          <w:spacing w:val="-2"/>
          <w:position w:val="0"/>
          <w:sz w:val="16"/>
          <w:shd w:fill="auto" w:val="clear"/>
        </w:rPr>
        <w:t xml:space="preserve">pertinentes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Catégorie d'usage principal</w:t>
        <w:tab/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Bougie/Fondant parfumé à destination du grand public</w:t>
      </w:r>
    </w:p>
    <w:p>
      <w:pPr>
        <w:tabs>
          <w:tab w:val="left" w:pos="565" w:leader="none"/>
        </w:tabs>
        <w:spacing w:before="120" w:after="0" w:line="240"/>
        <w:ind w:right="0" w:left="11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1.3. Renseignements concernant le fournisseur de la fiche de données de sécurité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56"/>
        <w:gridCol w:w="5806"/>
      </w:tblGrid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NOM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ADRESSE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TELEPHONE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MAIL :</w:t>
            </w:r>
          </w:p>
        </w:tc>
        <w:tc>
          <w:tcPr>
            <w:tcW w:w="58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1.4. Numéro d’appel d’urgence</w:t>
            </w:r>
          </w:p>
        </w:tc>
      </w:tr>
    </w:tbl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Belgique : +32 070 245 245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France : +33 (0)1 45 42 59 59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Luxembourg : +32 (0) 70 245 245</w:t>
      </w:r>
    </w:p>
    <w:p>
      <w:pPr>
        <w:tabs>
          <w:tab w:val="left" w:pos="3924" w:leader="none"/>
        </w:tabs>
        <w:spacing w:before="120" w:after="0" w:line="288"/>
        <w:ind w:right="439" w:left="4088" w:hanging="3969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2 : Identification des dangers</w:t>
            </w:r>
          </w:p>
        </w:tc>
      </w:tr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2.1 Classification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Classification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6658"/>
        <w:gridCol w:w="2404"/>
      </w:tblGrid>
      <w:tr>
        <w:trPr>
          <w:trHeight w:val="1" w:hRule="atLeast"/>
          <w:jc w:val="left"/>
        </w:trPr>
        <w:tc>
          <w:tcPr>
            <w:tcW w:w="6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Danger pour le milieu aquatique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Toxicit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 chronique catégorie 3</w:t>
            </w:r>
          </w:p>
        </w:tc>
        <w:tc>
          <w:tcPr>
            <w:tcW w:w="24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2.2 Eléments d’étiquetage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Etiquetage selon le règlement (CE) N° 1272/2008 [CLP]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Pictogrammes de danger (CLP) --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d'avertissement</w:t>
      </w:r>
      <w:r>
        <w:rPr>
          <w:rFonts w:ascii="Arial" w:hAnsi="Arial" w:cs="Arial" w:eastAsia="Arial"/>
          <w:color w:val="auto"/>
          <w:spacing w:val="-5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(CLP)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  <w:t xml:space="preserve">:</w:t>
      </w:r>
      <w:r>
        <w:rPr>
          <w:rFonts w:ascii="Arial" w:hAnsi="Arial" w:cs="Arial" w:eastAsia="Arial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ab/>
        <w:t xml:space="preserve">NEANT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Mentions de dangers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H412 : Nocif pour les organismes aquatiques, entraîne des effets néfastes à long terme.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Conseils de prudence (CLP)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271"/>
        <w:gridCol w:w="7791"/>
      </w:tblGrid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 cas de consultation d'un médecin, garder à disposition le récipient ou l'étiquette.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P102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Tenir hors de portée des enfants.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P103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Lire l'étiquette avant utilisation.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P273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 rejet dans l’environnement</w:t>
            </w:r>
          </w:p>
        </w:tc>
      </w:tr>
      <w:tr>
        <w:trPr>
          <w:trHeight w:val="1" w:hRule="atLeast"/>
          <w:jc w:val="left"/>
        </w:trPr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P501</w:t>
            </w:r>
          </w:p>
        </w:tc>
        <w:tc>
          <w:tcPr>
            <w:tcW w:w="7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Éliminer le récipient dans une installation de recyclage ou d'élimination des déchets approuvée.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EUH208 : Contient :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Linalool, Coumarin, Hexyl cinnamaldehyde , 2-Methyl-3-(p-isopropylphenyl)propionaldehyde (cyclamen aldehyde), piperonal. Peut produire une réaction allergique.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ab/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2.3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Résultats des évaluations PBT/vPvB : 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3 : Composition/informations</w:t>
            </w:r>
            <w:r>
              <w:rPr>
                <w:rFonts w:ascii="Arial" w:hAnsi="Arial" w:cs="Arial" w:eastAsia="Arial"/>
                <w:b/>
                <w:color w:val="FFFFFF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sur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b/>
                <w:color w:val="FFFFFF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FFFF"/>
                <w:spacing w:val="-2"/>
                <w:position w:val="0"/>
                <w:sz w:val="20"/>
                <w:shd w:fill="auto" w:val="clear"/>
              </w:rPr>
              <w:t xml:space="preserve">composants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3.1 Substances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3.2 Mélanges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65"/>
        <w:gridCol w:w="1413"/>
        <w:gridCol w:w="1468"/>
        <w:gridCol w:w="1360"/>
        <w:gridCol w:w="2828"/>
      </w:tblGrid>
      <w:tr>
        <w:trPr>
          <w:trHeight w:val="394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NOM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CAS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N° EC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Classification selon le règlement (CE) N° 1272/2008 [CLP]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Benzyl benzoate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120-51-4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204-402-9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0.7-1.75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2, H411;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4, H302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1,3,4,6,7,8-hexahydro-4,6,6,7,8,8-hexamethylindeno[5,6-c]pyran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1222-05-5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214-946-9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0.175-0.7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1, H400 (M=1); Aquatic Chronic 1, H410 (M=1)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Linalool</w:t>
            </w: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78-70-6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201-134-4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0.175-0.7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2;H315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2;H319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Coumarin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91-64-5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202-086-7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4, H302;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1B, H317;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3, H412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Hexyl cinnamaldehyde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101-86-0</w:t>
              <w:tab/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202-983-3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1;H317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1;H400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2;H411</w:t>
            </w: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2-Methyl-3-(p-isopropylphenyl)propionaldehyde (cyclamen aldehyde)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103-95-7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203-161-7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2, H315;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1, H317;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3, H412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86" w:hRule="auto"/>
          <w:jc w:val="left"/>
        </w:trPr>
        <w:tc>
          <w:tcPr>
            <w:tcW w:w="2565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piperonal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120-57-0</w:t>
            </w:r>
          </w:p>
        </w:tc>
        <w:tc>
          <w:tcPr>
            <w:tcW w:w="146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204-409-7</w:t>
            </w:r>
          </w:p>
        </w:tc>
        <w:tc>
          <w:tcPr>
            <w:tcW w:w="1360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0.07-0.175</w:t>
            </w:r>
          </w:p>
        </w:tc>
        <w:tc>
          <w:tcPr>
            <w:tcW w:w="2828" w:type="dxa"/>
            <w:tcBorders>
              <w:top w:val="single" w:color="365f91" w:sz="4"/>
              <w:left w:val="single" w:color="365f91" w:sz="4"/>
              <w:bottom w:val="single" w:color="365f91" w:sz="4"/>
              <w:right w:val="single" w:color="365f91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Repr. 2, H361fd;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Sens. 1, H317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Texte intégral des mentions H et EUH : voir rubrique 16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4 :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4.1 Description des mesures de premiers secours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3"/>
        <w:gridCol w:w="5239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inhalation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Transporter la personne à l’extérieur et la maintenir dans une position où elle peut confortablement respirer.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avec la peau</w:t>
              <w:tab/>
              <w:t xml:space="preserve">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Laver la peau avec beaucoup d'eau. En cas d’irritation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ou d'éruption cutanée: consulter un médecin.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contact oculaire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Rincer les yeux à l'eau par mesure de précaution.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Premiers soins après ingestion</w:t>
              <w:tab/>
              <w:t xml:space="preserve">                :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Appeler un centre antipoison ou un médecin en cas de malaise.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4.2 Principaux symptômes et effets, aigus et différés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3"/>
        <w:gridCol w:w="5239"/>
      </w:tblGrid>
      <w:tr>
        <w:trPr>
          <w:trHeight w:val="1" w:hRule="atLeast"/>
          <w:jc w:val="left"/>
        </w:trPr>
        <w:tc>
          <w:tcPr>
            <w:tcW w:w="3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Néant</w:t>
            </w:r>
          </w:p>
        </w:tc>
        <w:tc>
          <w:tcPr>
            <w:tcW w:w="5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4.3 Indication des éventuels soins médicaux immédiats et traitements particuliers nécessaires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Traitement symptomatique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5 : Mesures de lutte contre l’incendie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5.1 Moyens d’extinction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Moyens d'extinction appropriés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Eau pulvérisée. Poudre sèche. Mousse. Dioxyde de carbone.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5.2 Dangers particuliers résultant de la substance ou du mélange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Produits de décomposition dangereux en cas d'incendie                                                           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Dégagement possible de fumées toxiques.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5.3 Conseils aux pompiers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Protection en cas d'incendie 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Appareil de protection respiratoire autonome isolant. Protection complète du corps.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6 : Mesures à prendre en cas de dispersion accidentelle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6.1 Précautions individuelles, équipement de protection et procédures d’urgence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6.1.1 Pour les non-secouristes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Procédures d’urgence                                         : 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Ventiler la zone. Eviter le contact avec la peau et les yeux. Éviter de respirer les poussières/fumées/gaz/brouillards/vapeurs/aérosols.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  <w:t xml:space="preserve">6.1.2 Pour les secouristes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tbl>
      <w:tblPr/>
      <w:tblGrid>
        <w:gridCol w:w="3681"/>
        <w:gridCol w:w="5381"/>
        <w:gridCol w:w="572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Equipement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16"/>
                <w:shd w:fill="auto" w:val="clear"/>
              </w:rPr>
              <w:t xml:space="preserve"> protection                                     :</w:t>
            </w:r>
          </w:p>
        </w:tc>
        <w:tc>
          <w:tcPr>
            <w:tcW w:w="53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intervenir sans un équipement de protection adapté. Pour plus d'informations, se reporter à la rubrique 8 : "Contrôle de l'exposition-protection individuelle".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6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6.2 Précautions pour la protection de l’environnement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b/>
          <w:color w:val="0070C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Eviter le rejet dans l’environnement.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6.3 Méthodes et matériel de confinement et de nettoyage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Eliminer les matières ou résidus solides dans un centre autorisé.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6.4 Références à d’autres rubriques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Pour plus d'informations, se reporter à la rubrique 13.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7 : Manipulation et stockage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7.1 Précautions à prendre pour une manipulation sans danger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Ne pas manger, boire ou fumer en manipulant ce produit. Se laver les mains après toute manipulation.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7.2 Conditions d'un stockage sûr, y compris les éventuelles incompatibilités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539"/>
        <w:gridCol w:w="5523"/>
        <w:gridCol w:w="572"/>
      </w:tblGrid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Conditions de stockage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à l’abri de la lumière.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stockage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Eviter les températures extrêmes.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Prescriptions particulières concernant         l'emballage                  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Stocker dans un récipient fermé.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Matériaux d'emballage                                     :</w:t>
            </w: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Ne pas conserver dans un métal sensible à la corrosion.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96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8 : Contrôles de l’exposition/protection individuelle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8.1 Paramètres de contrôle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8.2 Contrôles de l’exposition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Non applicable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9 : Propriétés physiques et chimiques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9.1 Informations sur les propriétés physiques et chimiques essentielles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État physique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Solide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Couleur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Odeur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Caractéristique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Seuil Olfactif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fusion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d’ébullition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de congélation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Inflammabilité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Limites d’explosivité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inférieure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Limite supérieure d'explosion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Point éclair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&gt;100°C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d'auto-inflammation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Température de décomposition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pH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Viscosité, cinématique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Solubilité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Coefficient de partage n-octanol/eau (Log Kow)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Pression de vapeur à 50°C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Masse volumique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Densité relative de vapeur à 20°C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Pas disponible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Caractéristiques d’une particule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applicable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9.2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10 : Stabilité et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10.1 Réactivité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n'est pas réactif dans les conditions normales d'utilisation, de stockage et de transport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10.2 Stabilité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Stable dans les conditions normales.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10.3 Possibilité de réactions dangereuses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de réaction dangereuse connue dans les conditions normales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10.4 Conditions à éviter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dans des conditions de stockage et de manipulation recommandées (voir rubrique 7).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10.5 Matières incompatibles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10.6 Produits de décomposition dangereux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 produit de décomposition dangereux ne devrait être généré dans les conditions normales de stockage et d'emploi.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11 : Informations toxicologiques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11.1 Informations sur les classes de danger telles que définies dans le règlement (CE) n° 1272/2008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(orale)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(cutanée)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aiguë (Inhalation)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Corrosion cutanée/irritation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Lésions oculaires graves/irritation oculaire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Sensibilisation respiratoire ou cutanée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Mutagénicité sur les cellules germinales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Cancérogénicité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pour la reproduction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unique)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Toxicité spécifique pour certains organes cibles (STOT) (exposition répétée)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 par aspiration</w:t>
            </w:r>
          </w:p>
        </w:tc>
        <w:tc>
          <w:tcPr>
            <w:tcW w:w="4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11.2 Informations sur les autres dangers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d'informations complémentaires disponibles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12 : Informations écologiques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12.1 Toxicité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547"/>
        <w:gridCol w:w="6515"/>
      </w:tblGrid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Ecologie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énéral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court terme (aiguë)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Non classé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Dangers pour le milieu aquatique, à long terme (chronique)</w:t>
            </w:r>
          </w:p>
        </w:tc>
        <w:tc>
          <w:tcPr>
            <w:tcW w:w="6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Nocif pour les organismes aquatiques, entraîne des effets néfastes à long terme.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12.2 Persistance et dégradabilité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12.3 Potentiel de bioaccumulation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Le produit n’a pas été testé. Pas de données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12.4 Mobilité dans le sol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12.5 Résultats des évaluations PBT et vPvB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12.6 Propriétés perturbant le système endocrinien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12.7 Autres effets néfastes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Pas d’informations complémentaires disponibles.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13 : Considérations relatives à l’élimination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13.1 Méthodes de traitement des déchets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972"/>
        <w:gridCol w:w="6090"/>
      </w:tblGrid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Méthodes de traitement des déchets</w:t>
            </w:r>
          </w:p>
        </w:tc>
        <w:tc>
          <w:tcPr>
            <w:tcW w:w="60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: Eliminer le contenu/récipient conformément aux consignes de tri du collecteur agréé.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14 : Informations relatives au transport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 conformité avec: ADR / IMDG / IATA / ADN / RID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WGK : 1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980"/>
        <w:gridCol w:w="1984"/>
        <w:gridCol w:w="1843"/>
        <w:gridCol w:w="1843"/>
        <w:gridCol w:w="1984"/>
      </w:tblGrid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ADR</w:t>
            </w: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IMDG</w:t>
            </w: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IATA</w:t>
            </w: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ADN</w:t>
            </w: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14.1.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ONU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d’identification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14.2.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Désignation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officielle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transport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l'ONU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Description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document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6"/>
                <w:shd w:fill="auto" w:val="clear"/>
              </w:rPr>
              <w:t xml:space="preserve"> transport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14.3.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Classe(s)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transport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14.4.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Groupe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d’emballage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34" w:type="dxa"/>
            <w:gridSpan w:val="5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14.5.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Dangers</w:t>
            </w:r>
            <w:r>
              <w:rPr>
                <w:rFonts w:ascii="Arial" w:hAnsi="Arial" w:cs="Arial" w:eastAsia="Arial"/>
                <w:b/>
                <w:color w:val="0070C0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l'environnement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4f81bd" w:sz="4"/>
              <w:left w:val="single" w:color="4f81bd" w:sz="4"/>
              <w:bottom w:val="single" w:color="4f81bd" w:sz="4"/>
              <w:right w:val="single" w:color="4f81bd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15 : Informations relatives à la réglementation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15.1 Réglementations/législation particulières à la substance ou au mélange en matière de sécurité, de santé et d’environnement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>
      <w:pPr>
        <w:spacing w:before="96" w:after="0" w:line="288"/>
        <w:ind w:right="232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256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15868"/>
                <w:spacing w:val="0"/>
                <w:position w:val="0"/>
                <w:sz w:val="18"/>
                <w:shd w:fill="auto" w:val="clear"/>
              </w:rPr>
              <w:t xml:space="preserve">15.2 Évaluation de la sécurité chimique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Aucune évaluation de la sécurité chimique n'a été effectuée pour cette substance/mélange par le fournisseur ?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634"/>
      </w:tblGrid>
      <w:tr>
        <w:trPr>
          <w:trHeight w:val="409" w:hRule="auto"/>
          <w:jc w:val="left"/>
        </w:trPr>
        <w:tc>
          <w:tcPr>
            <w:tcW w:w="96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31849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RUBRIQUE 16 : Autres informations</w:t>
            </w: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988"/>
        <w:gridCol w:w="1701"/>
        <w:gridCol w:w="6945"/>
      </w:tblGrid>
      <w:tr>
        <w:trPr>
          <w:trHeight w:val="1" w:hRule="atLeast"/>
          <w:jc w:val="left"/>
        </w:trPr>
        <w:tc>
          <w:tcPr>
            <w:tcW w:w="9634" w:type="dxa"/>
            <w:gridSpan w:val="3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auto" w:fill="92cdd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Texte</w:t>
            </w:r>
            <w:r>
              <w:rPr>
                <w:rFonts w:ascii="Arial" w:hAnsi="Arial" w:cs="Arial" w:eastAsia="Arial"/>
                <w:b/>
                <w:color w:val="0070C0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intégral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des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phrases</w:t>
            </w:r>
            <w:r>
              <w:rPr>
                <w:rFonts w:ascii="Arial" w:hAnsi="Arial" w:cs="Arial" w:eastAsia="Arial"/>
                <w:b/>
                <w:color w:val="0070C0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70C0"/>
                <w:spacing w:val="0"/>
                <w:position w:val="0"/>
                <w:sz w:val="18"/>
                <w:shd w:fill="auto" w:val="clear"/>
              </w:rPr>
              <w:t xml:space="preserve">H et </w:t>
            </w:r>
            <w:r>
              <w:rPr>
                <w:rFonts w:ascii="Arial" w:hAnsi="Arial" w:cs="Arial" w:eastAsia="Arial"/>
                <w:b/>
                <w:color w:val="0070C0"/>
                <w:spacing w:val="-4"/>
                <w:position w:val="0"/>
                <w:sz w:val="18"/>
                <w:shd w:fill="auto" w:val="clear"/>
              </w:rPr>
              <w:t xml:space="preserve">EUH: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H302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Acute Tox. 4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en cas d’ingestion.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irritation cutanée.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Skin Sens 1B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Peut provoquer une allergie cutanée.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Eye Irrit.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Provoque une sévère irritation des yeux.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H361fd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Repr.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Susceptible de nuire à la fertilité ou au f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œtus.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Acute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H410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1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Très toxique pour les organismes aquatiques, entraîne des effets néfastes à long terme.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2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Toxique pour les organismes aquatiques, entraîne des effets néfastes à long terme.</w:t>
            </w:r>
          </w:p>
        </w:tc>
      </w:tr>
      <w:tr>
        <w:trPr>
          <w:trHeight w:val="1" w:hRule="atLeast"/>
          <w:jc w:val="left"/>
        </w:trPr>
        <w:tc>
          <w:tcPr>
            <w:tcW w:w="988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H412</w:t>
            </w:r>
          </w:p>
        </w:tc>
        <w:tc>
          <w:tcPr>
            <w:tcW w:w="1701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Aquatic Chronic 3</w:t>
            </w:r>
          </w:p>
        </w:tc>
        <w:tc>
          <w:tcPr>
            <w:tcW w:w="6945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Nocif pour les organismes aquatiques, entraîne des effets néfastes à long terme.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924" w:leader="none"/>
        </w:tabs>
        <w:spacing w:before="95" w:after="0" w:line="444"/>
        <w:ind w:right="6101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Fiche de données de sécurité (FDS), UE</w:t>
      </w:r>
    </w:p>
    <w:p>
      <w:pPr>
        <w:spacing w:before="0" w:after="0" w:line="240"/>
        <w:ind w:right="0" w:left="-567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informations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sont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basées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nos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connaissances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actuelles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décrivent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produit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pour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les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seuls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besoins</w:t>
      </w:r>
      <w:r>
        <w:rPr>
          <w:rFonts w:ascii="Arial" w:hAnsi="Arial" w:cs="Arial" w:eastAsia="Arial"/>
          <w:color w:val="808080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santé,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la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sécurité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et</w:t>
      </w:r>
      <w:r>
        <w:rPr>
          <w:rFonts w:ascii="Arial" w:hAnsi="Arial" w:cs="Arial" w:eastAsia="Arial"/>
          <w:color w:val="808080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808080"/>
          <w:spacing w:val="0"/>
          <w:position w:val="0"/>
          <w:sz w:val="16"/>
          <w:shd w:fill="auto" w:val="clear"/>
        </w:rPr>
        <w:t xml:space="preserve">de l’environnement. Elles ne devraient donc pas être interprétées comme garantissant une quelconque propriété spécifique du produit.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