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240" w:after="240" w:line="240"/>
        <w:ind w:right="0" w:left="0" w:firstLine="0"/>
        <w:jc w:val="center"/>
        <w:rPr>
          <w:rFonts w:ascii="Calibri" w:hAnsi="Calibri" w:cs="Calibri" w:eastAsia="Calibri"/>
          <w:b/>
          <w:color w:val="000000"/>
          <w:spacing w:val="-10"/>
          <w:position w:val="0"/>
          <w:sz w:val="44"/>
          <w:shd w:fill="auto" w:val="clear"/>
        </w:rPr>
      </w:pPr>
      <w:r>
        <w:rPr>
          <w:rFonts w:ascii="Calibri" w:hAnsi="Calibri" w:cs="Calibri" w:eastAsia="Calibri"/>
          <w:b/>
          <w:color w:val="000000"/>
          <w:spacing w:val="-10"/>
          <w:position w:val="0"/>
          <w:sz w:val="44"/>
          <w:shd w:fill="auto" w:val="clear"/>
        </w:rPr>
        <w:t xml:space="preserve">Fiche de Données de Sécurité</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Identification de la substance/du mélange et de la société/l’entreprise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Identificateur de produit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Nom du produit</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Inspiré de "Khamrah"</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Utilisations identifiées pertinentes de la substance ou du mélange et utilisations déconseillées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Utilisations identifiées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Bougie parfumée à destination du grand public.</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Utilisations contre indiquées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donnée disponible.</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Renseignements concernant le fournisseur de la fiche de données de sécurité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Fournisseur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Nom</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Rue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Code postal/Ville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Pays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Téléphone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Email</w:t>
            </w:r>
            <w:r>
              <w:rPr>
                <w:rFonts w:ascii="Calibri" w:hAnsi="Calibri" w:cs="Calibri" w:eastAsia="Calibri"/>
                <w:color w:val="000000"/>
                <w:spacing w:val="0"/>
                <w:position w:val="0"/>
                <w:sz w:val="20"/>
                <w:shd w:fill="auto" w:val="clear"/>
              </w:rPr>
              <w:t xml:space="preserve"> : </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Numéro d’appel d’urgence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France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33 (0)1 45 42 59 59. BELGIQUE 070245.245</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2</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Identification des dangers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2.1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b/>
                <w:color w:val="000000"/>
                <w:spacing w:val="0"/>
                <w:position w:val="0"/>
                <w:sz w:val="26"/>
                <w:u w:val="single"/>
                <w:shd w:fill="auto" w:val="clear"/>
              </w:rPr>
            </w:pPr>
            <w:r>
              <w:rPr>
                <w:rFonts w:ascii="Calibri" w:hAnsi="Calibri" w:cs="Calibri" w:eastAsia="Calibri"/>
                <w:b/>
                <w:color w:val="000000"/>
                <w:spacing w:val="0"/>
                <w:position w:val="0"/>
                <w:sz w:val="26"/>
                <w:u w:val="single"/>
                <w:shd w:fill="auto" w:val="clear"/>
              </w:rPr>
              <w:t xml:space="preserve">Classification de la substance ou du mélange</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7F7F7F"/>
                <w:spacing w:val="0"/>
                <w:position w:val="0"/>
                <w:sz w:val="22"/>
                <w:shd w:fill="auto" w:val="clear"/>
              </w:rPr>
              <w:t xml:space="preserve">Classification conformément au règlement (CE) n°1272/2008 (CLP) et ses amendements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Identification des dangers : </w:t>
      </w:r>
    </w:p>
    <w:tbl>
      <w:tblPr/>
      <w:tblGrid>
        <w:gridCol w:w="1134"/>
        <w:gridCol w:w="2835"/>
        <w:gridCol w:w="6066"/>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H412</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Chronic 3</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Nocif pour les organismes aquatiques, entraîne des effets néfastes à long terme</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2.2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b/>
                <w:color w:val="000000"/>
                <w:spacing w:val="0"/>
                <w:position w:val="0"/>
                <w:sz w:val="26"/>
                <w:u w:val="single"/>
                <w:shd w:fill="auto" w:val="clear"/>
              </w:rPr>
            </w:pPr>
            <w:r>
              <w:rPr>
                <w:rFonts w:ascii="Calibri" w:hAnsi="Calibri" w:cs="Calibri" w:eastAsia="Calibri"/>
                <w:b/>
                <w:color w:val="000000"/>
                <w:spacing w:val="0"/>
                <w:position w:val="0"/>
                <w:sz w:val="26"/>
                <w:u w:val="single"/>
                <w:shd w:fill="auto" w:val="clear"/>
              </w:rPr>
              <w:t xml:space="preserve">Éléments d’étiquetage</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7F7F7F"/>
                <w:spacing w:val="0"/>
                <w:position w:val="0"/>
                <w:sz w:val="22"/>
                <w:shd w:fill="auto" w:val="clear"/>
              </w:rPr>
              <w:t xml:space="preserve">Éléments d'étiquetage conformément au règlement (CE) n°1272/2008 (CLP) et ses amendements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404040"/>
          <w:spacing w:val="0"/>
          <w:position w:val="0"/>
          <w:sz w:val="22"/>
          <w:shd w:fill="auto" w:val="clear"/>
        </w:rPr>
        <w:t xml:space="preserve">Étiquetage</w:t>
      </w:r>
    </w:p>
    <w:tbl>
      <w:tblPr/>
      <w:tblGrid>
        <w:gridCol w:w="3402"/>
        <w:gridCol w:w="6633"/>
      </w:tblGrid>
      <w:tr>
        <w:trPr>
          <w:trHeight w:val="1" w:hRule="atLeast"/>
          <w:jc w:val="left"/>
        </w:trPr>
        <w:tc>
          <w:tcPr>
            <w:tcW w:w="340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Pictogrammes de danger</w:t>
            </w:r>
          </w:p>
        </w:tc>
        <w:tc>
          <w:tcPr>
            <w:tcW w:w="663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40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Mention d'avertissement</w:t>
            </w:r>
          </w:p>
        </w:tc>
        <w:tc>
          <w:tcPr>
            <w:tcW w:w="663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Mentions de danger</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H412</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Nocif pour les organismes aquatiques, entraîne des effets néfastes à long terme</w:t>
            </w: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Informations supplémentaires sur les dangers (UE)</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EUH208</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Contient coumarin, 1-(2,6,6-trimethyl-3-cyclohexen-1-yl)-2-buten-1-one, (R)-p-mentha-1,8-diene, linalool, 1-(1,2,3,4,5,6,7,8-octahydro-2,3,8,8-tetramethyl-2-naphthyl)ethan-1-one, cinnamaldehyde. Peut produire une réaction allergique.</w:t>
            </w: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Mises en garde</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P101</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En cas de consultation d’un médecin, garder à disposition le récipient ou l’étiquette.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P102</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Tenir hors de portée des enfants.</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P103</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Lire l’étiquette avant utilisation.</w:t>
            </w: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Mises en garde - Prévention</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P273</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Éviter le rejet dans l'environnement.</w:t>
            </w: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Mises en garde - Élimination</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P501</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Éliminer le contenu/récipient conformément à la réglementation locale.</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2.3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Autres dangers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Conformément au règlement (UE) 1907/2006, aucune substance n'est évaluée comme PBT ou vPvB.</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Selon le règlement (UE) 2017/2100 ou le règlement (UE) 2018/605, aucune substance n'est connue pour avoir des propriétés de perturbation endocrinienne.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3</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Composition/informations sur les composants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3.2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Mélanges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Conformément à la connaissance du produit, aucun nanomatériau n'a été identifié.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mélange ne contient pas de substances classées comme substances extrêmement préoccupantes (SVHC) par l'Agence européenne des produits chimiques (ECHA) conformément à l'article 57 du règlement REACH: </w:t>
      </w:r>
      <w:hyperlink xmlns:r="http://schemas.openxmlformats.org/officeDocument/2006/relationships" r:id="docRId0">
        <w:r>
          <w:rPr>
            <w:rFonts w:ascii="Calibri" w:hAnsi="Calibri" w:cs="Calibri" w:eastAsia="Calibri"/>
            <w:color w:val="000000"/>
            <w:spacing w:val="0"/>
            <w:position w:val="0"/>
            <w:sz w:val="20"/>
            <w:u w:val="single"/>
            <w:shd w:fill="auto" w:val="clear"/>
          </w:rPr>
          <w:t xml:space="preserve">http://echa.europa.eu/fr/candidate-list-table</w:t>
        </w:r>
      </w:hyperlink>
      <w:r>
        <w:rPr>
          <w:rFonts w:ascii="Calibri" w:hAnsi="Calibri" w:cs="Calibri" w:eastAsia="Calibri"/>
          <w:color w:val="000000"/>
          <w:spacing w:val="0"/>
          <w:position w:val="0"/>
          <w:sz w:val="20"/>
          <w:shd w:fill="auto" w:val="clear"/>
        </w:rPr>
        <w:t xml:space="preserve">.</w:t>
      </w:r>
    </w:p>
    <w:tbl>
      <w:tblPr>
        <w:tblInd w:w="50" w:type="dxa"/>
      </w:tblPr>
      <w:tblGrid>
        <w:gridCol w:w="1334"/>
        <w:gridCol w:w="1501"/>
        <w:gridCol w:w="1701"/>
        <w:gridCol w:w="1701"/>
        <w:gridCol w:w="3685"/>
      </w:tblGrid>
      <w:tr>
        <w:trPr>
          <w:trHeight w:val="567" w:hRule="auto"/>
          <w:jc w:val="left"/>
        </w:trPr>
        <w:tc>
          <w:tcPr>
            <w:tcW w:w="2835" w:type="dxa"/>
            <w:gridSpan w:val="2"/>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Substance</w:t>
            </w:r>
          </w:p>
        </w:tc>
        <w:tc>
          <w:tcPr>
            <w:tcW w:w="1701"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Concentration (%)</w:t>
            </w:r>
          </w:p>
        </w:tc>
        <w:tc>
          <w:tcPr>
            <w:tcW w:w="1701"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Limites de concentration spécifiques</w:t>
            </w:r>
          </w:p>
        </w:tc>
        <w:tc>
          <w:tcPr>
            <w:tcW w:w="3685"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Classification</w:t>
            </w: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1-(1,2,3,4,5,6,7,8-octahydro-2,3,8,8-tetramethyl-2-naphthyl)ethan-1-one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54464-57-2</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0.7%</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Macute = 1</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H410     Aquatic Chronic 1</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259-174-3</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coumarin</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91-64-5</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0.175%</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ETA (orale): 500 mg/kg</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H302     Acute Tox. 4 ORAL</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H317     Skin Sens. 1B</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202-086-7</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01-2119949300-45-XXXX,01-2119943756-26-XXXX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(R)-p-mentha-1,8-diene</w:t>
            </w:r>
            <w:r>
              <w:rPr>
                <w:rFonts w:ascii="Calibri" w:hAnsi="Calibri" w:cs="Calibri" w:eastAsia="Calibri"/>
                <w:color w:val="000000"/>
                <w:spacing w:val="0"/>
                <w:position w:val="0"/>
                <w:sz w:val="20"/>
                <w:shd w:fill="auto" w:val="clear"/>
              </w:rPr>
              <w:t xml:space="preserve"> [1]</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5989-27-5</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0.1232%</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M=1 (toxicité aiguë)</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H226     Flam. Liq. 3</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H304     Asp. Tox. 1</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H400     Aquatic Acute 1</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H412     Aquatic Chronic 3</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227-813-5</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601-096-00-2</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01-2119529223-47-XXXX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linalool</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78-70-6</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0.1196999999%</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ETA (orale): 2790 mg/kg</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H319     Eye Irrit. 2</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201-134-4</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603-235-00-2</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01-2119474016-42-XXXX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cinnamaldehyde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104-55-2</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0.0224%</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ETA (orale): 2200 mg/kg</w:t>
              <w:br/>
              <w:t xml:space="preserve">ETA (cutanée): 1100 mg/kg</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H312     Acute Tox. 4 DERMAL</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Skin Sens. 1A</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H319     Eye Irrit. 2</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H412     Aquatic Chronic 3</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203-213-9</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606-155-00-6</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01-2119935242-45-XXXX,01-2119950687-24-XXXX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1-(2,6,6-trimethyl-3-cyclohexen-1-yl)-2-buten-1-one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57378-68-4</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0.0119%</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ETA (orale): 1400 mg/kg</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H302     Acute Tox. 4 ORAL</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Skin Sens. 1A</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H400     Aquatic Acute 1</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H410     Aquatic Chronic 1</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260-709-8</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[1] Substances pour lesquelles des limites maximales d'exposition en milieu de travail sont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Remarque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Texte intégral des phrases H- et EUH- : voir la section 16.</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4</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Premiers secours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4.1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Description des mesures de premiers secours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Conseils généraux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d'accident ou de malaise, consulter immédiatement un médecin (montrer le mode d'emploi ou la fiche de données de sécurité si possible).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En cas d’inhalation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Transporter la personne à l’extérieur et la maintenir dans une position où elle peut confortablement respirer.</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Après contact avec la peau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Laver avec de l'eau et du savon.</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En cas de contact avec les yeux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d'irritation oculaire, consulter un ophtalmologiste.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Rincer soigneusement et abondamment avec un bain oculaire ou de l'eau.</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En cas d’ingestion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jamais rien donner par la bouche à une personne inconsciente ou une personne avec des crampes.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D'INGESTION: Rincer la bouche.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faire vomir.</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Protection des sauveteurs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Premiers secours : faites attention à l'autoprotection !.</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4.2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Principaux symptômes et effets, aigus et différés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principaux symptômes et effets connus sont décrits sur l'étiquette (voir section 2.2) et/ou à l'article 11.</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4.3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Indication des éventuels soins médicaux immédiats et traitements particuliers nécessaires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Notes pour le médecin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Traitement symptomatique.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5</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Mesures de lutte contre l’incendie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5.1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Moyens d’extinction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Moyens d'extinction appropriés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Mousse.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Poudre d'extinction.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Dioxyde de carbone (CO2).</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Sable.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Moyens d'extinction inappropriés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Jet d'eau.</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5.2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Dangers particuliers résultant de la substance ou du mélange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 formation de gaz toxiques est possible pendant le chauffage ou en cas d'incendie.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5.3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Conseils aux pompiers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Porter un appareil respiratoire isolant et des vêtements de protection chimique.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inhaler les gaz d'explosion et d'incendie.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Coordonner les mesures de lutte contre les incendies dans les installations environnantes.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Écarter les conteneurs non endommagés de la zone de danger immédiate si cela peut se faire en toute sécurité.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Faites preuve de prudence lors de l'application de dioxyde de carbone dans des espaces confinés. Le dioxyde de carbone peut déplacer l'oxygène.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un jet de pulvérisation d'eau pour protéger le personnel et pour refroidir les conteneurs en danger.</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Recueillir les eaux d'extinction contaminées séparément. Ne pas laisser pénétrer dans les égouts ou les eaux de surface.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6</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Mesures à prendre en cas de dispersion accidentelle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6.1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Précautions individuelles, équipement de protection et procédures d’urgence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un équipement de protection individuelle.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Mettre les personnes en sécurité.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une protection respiratoire appropriée.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Assurer une ventilation adéquate.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6.2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Précautions pour la protection de l’environnement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S'assurer que les déchets soient collectés et contenus.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Éviter le rejet dans l’environnement.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Couvrir les canalisations.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Veiller à ce que toutes les eaux usées soient recueillies et traitées par une usine de traitement des eaux usées.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laisser pénétrer dans le sol/sous-sol.</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laisser entrer dans les eaux de surface ou dans les égouts.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Contenir l'eau de lavage contaminée et l'éliminer.</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de fuite de gaz ou d'entrée dans les voies d'eau, le sol ou les égouts, informer les autorités responsables.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6.3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Méthodes et matériel de confinement et de nettoyage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Traiter le matériau recueilli conformément à la section sur l'élimination des déchets.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Recueillir dans des conteneurs fermés et appropriés pour l'élimination.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Nettoyer soigneusement les zones et objets contaminés en respectant les réglementations environnementales.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6.4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Référence à d'autres sections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Manipulation sécuritaire : voir la section 7.</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Elimination des déchets : voir la section 13.</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Equipements de protection individuelle : voir la section 8.</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7</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Manipulation et stockage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7.1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Précautions à prendre pour une manipulation sans danger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Mesures de protection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Eviter le contact avec la peau, les yeux et les vêtements.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égouts et les conduits doivent être protégés contre l'entrée du produit.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Prévoir des conteneurs de rétention, par exemple, un plancher sans écoulement.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seulement dans des zones bien ventilées.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Si la ventilation locale par aspiration n'est pas possible ou ne suffit pas, l'ensemble de la zone de travail doit être ventilé par des moyens techniques.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Assurer une ventilation adéquate ainsi qu'une aspiration locale aux endroits critiques.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Toute poussière doit être évacuée directement au point d'origine.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Conseils sur l'hygiène professionnelle en général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 laver les mains avant les pauses et après le travail.</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Retirer les vêtements souillés ou contaminés.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Travailler dans des zones bien ventilées ou utiliser une protection respiratoire appropriée.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7.2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Conditions d’un stockage sûr, y compris les éventuelles incompatibilités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Stocker à température ambiante et à l'écart de toute source de chaleur.</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Exigences concernant les lieux et conteneurs de stockage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un drainage isolé pour empêcher un déversement sur le sol.</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Assurer une ventilation adéquate de la zone de stockage.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Précautions pour le stockage en commun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Tenir à l'écart de produits alimentaires, de boissons et de nourriture pour animaux.</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7.3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Utilisation(s) finale(s) particulière(s)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Outre les utilisations mentionnées à la section 1.2, aucune autre utilisation spécifique n'est stipulée.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8</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Contrôles de l’exposition/Protection individuelle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8.1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Paramètres de contrôle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Limites d'exposition professionnelle : </w:t>
      </w:r>
    </w:p>
    <w:tbl>
      <w:tblPr/>
      <w:tblGrid>
        <w:gridCol w:w="2835"/>
        <w:gridCol w:w="1701"/>
        <w:gridCol w:w="1701"/>
        <w:gridCol w:w="3685"/>
      </w:tblGrid>
      <w:tr>
        <w:trPr>
          <w:trHeight w:val="1" w:hRule="atLeast"/>
          <w:jc w:val="left"/>
        </w:trPr>
        <w:tc>
          <w:tcPr>
            <w:tcW w:w="2835"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120" w:after="12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Substance</w:t>
            </w:r>
          </w:p>
        </w:tc>
        <w:tc>
          <w:tcPr>
            <w:tcW w:w="1701"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120" w:after="12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Valeur</w:t>
            </w:r>
          </w:p>
        </w:tc>
        <w:tc>
          <w:tcPr>
            <w:tcW w:w="1701"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120" w:after="12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Unité</w:t>
            </w:r>
          </w:p>
        </w:tc>
        <w:tc>
          <w:tcPr>
            <w:tcW w:w="3685"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120" w:after="12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Type</w: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Valeurs limites biologiques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Limites d'exposition en utilisation prévue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Remarque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8.2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Contrôles de l’exposition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Contrôles techniques appropriés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Assurer une ventilation adéquate ainsi qu'une aspiration locale aux endroits critiques.</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Mesures de protection individuelle, telles que les équipements de protection individuelle : Pas de données disponibles</w:t>
      </w: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Protection des yeux et du visage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Protection oculaire appropriée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mesure spéciale n'est nécessaire.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Protection de la peau</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Protection des mains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7F7F7F"/>
                <w:spacing w:val="0"/>
                <w:position w:val="0"/>
                <w:sz w:val="20"/>
                <w:shd w:fill="auto" w:val="clear"/>
              </w:rPr>
              <w:t xml:space="preserve">Type de gants appropriés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Protection du corps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7F7F7F"/>
                <w:spacing w:val="0"/>
                <w:position w:val="0"/>
                <w:sz w:val="20"/>
                <w:shd w:fill="auto" w:val="clear"/>
              </w:rPr>
              <w:t xml:space="preserve">Vêtement de protection approprié</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mesure spéciale n'est nécessaire.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Protection respiratoire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Appareil de protection respiratoire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mesure spéciale n'est nécessaire.</w:t>
            </w: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Contrôles d’exposition liés à la protection de l’environnement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Contrôle de l'exposition des consommateurs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9</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Propriétés physiques et chimiques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9.1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sur les propriétés physiques et chimiques essentielles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Etat physique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Solid</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Couleur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Déterminé(e)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Odeur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Orientale-balsamique - Fruitée - Ambrée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pH</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Point de fusion/point de congélation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Point initial d’ébullition et intervalle d’ébullition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Point d’éclair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&gt; 100°C</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Inflammabilité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Limites supérieures/inférieures d’inflammabilité ou limites d’explosivité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Pression de vapeur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Densité de vapeur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Densité relative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Solubilité(s)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Coefficient de partage n-octanol/eau (valeur log)</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Température d’auto-inflammabilité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Température de décomposition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Viscosité dynamique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Viscosité cinématique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Propriétés comburantes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Solubilité dans d'autres solvants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Caractéristiques des particules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9.2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Autres informations de sécurité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2"/>
          <w:shd w:fill="auto" w:val="clear"/>
        </w:rPr>
        <w:t xml:space="preserve">Informations concernant les classes de danger physique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2"/>
          <w:shd w:fill="auto" w:val="clear"/>
        </w:rPr>
        <w:t xml:space="preserve">Autres caractéristiques de sécurité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10</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Stabilité et réactivité</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Réactivité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Stabilité chimique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est stable avec un stockage à des températures ambiantes normales.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Possibilité de réactions dangereuses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réaction dangereuse quand manipulé et stocké conformément aux dispositions recommandées.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Conditions à éviter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Matières incompatibles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Produits de décomposition dangereux</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se décompose pas quand utilisé conformément aux utilisations prévues.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11</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toxicologiques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11.1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sur les classes de danger telles que définies dans le règlement (CE) no 1272/2008</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orale aiguë</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aiguë par voie cutanée</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aiguë par inhalation</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Corrosion/irritation cutanée</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Lésions oculaires graves/irritation</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Sensibilisation de la peau</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spécifique pour certains organes cibles (exposition répétée)</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spécifique pour certains organes cibles (exposition ponctuelle)</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Cancérogenicité</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pour la reproduction</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Mutagénicité des cellules germinales</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Sensibilisation des voies respiratoires</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Informations complémentaires</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11.2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sur les autres dangers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Propriétés perturbant le système endocrinien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Selon le règlement (UE) 2017/2100 ou le règlement (UE) 2018/605, aucune substance n'est connue pour avoir des propriétés de perturbation endocrinienne.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12</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écologiques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Toxicité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Nocif pour les organismes aquatiques, entraîne des effets néfastes à long terme.</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Persistance et dégradabilité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Potentiel de bioaccumulation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Mobilité dans le sol</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Résultats des évaluations PBT et vPvB</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Conformément au règlement (UE) 1907/2006, aucune substance n'est évaluée comme PBT ou vPvB.</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Propriétés perturbant le système endocrinien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Selon le règlement (UE) 2017/2100 ou le règlement (UE) 2018/605, aucune substance n'est connue pour avoir des propriétés de perturbation endocrinienne.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Autres effets néfastes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écotoxicologiques supplémentaires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13</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Considérations relatives à l’élimination</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13.1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Méthodes de traitement des déchets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Élimination des produits/emballages : </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Codes déchet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 répartition des numéros d'identité des déchets/descriptions des déchets doit être effectuée conformément aux recommandations de la CEE, de manière spécifique à l'industrie et aux procédures en question.</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Options de traitement des déchets : </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Élimination appropriée/Produit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Déchets exigeant une surveillance spéciale.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Éliminer les déchets conformément à la législation applicable.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Livraison à une société agréée en élimination des déchets.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Élimination appropriée/Emballage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emballages non-contaminés doivent être recyclés ou éliminés.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emballages contaminés doivent être entièrement vidés et peuvent être réutilisés après un nettoyage adéquat.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emballages ne pouvant pas être nettoyés doivent être éliminés.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Manipuler les emballages contaminés de la même façon que la substance elle-même.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Éliminer les déchets conformément à la législation applicable.</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Remarque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Pour le recyclage, contacter le fabricant.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Collecter les déchets séparément.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Consulter les autorités compétentes en matière d'élimination des déchets.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mélanger avec d'autres déchets.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déchets doivent être séparés des autres types de déchets jusqu'à leur élimination.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ce qui concerne les déchets, ils doivent être vérifiés, si une autorisation de transport est nécessaire.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14</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relatives au transport</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Numéro ONU</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Désignation officielle de transport de l’ONU</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Classe(s) de danger pour le transport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Groupe d’emballage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Dangers pour l’environnement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Précautions particulières à prendre par l’utilisateur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Transport maritime en vrac conformément aux instruments de l'OMI</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15</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réglementaires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15.1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Réglementations/Législation particulières à la substance ou au mélange en matière de sécurité, de santé et d’environnement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Cette FDS a été établie conformément au règlement REACH, y compris ses modifications: règlement REACH (CE) n ° 1907/2006.</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Cette SDS a été établie conformément à la réglementation CLP, y compris ses modifications: règlement CLP n ° 1272/2008.</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Législation européenne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COMMISSION REGULATION (EU) 2023/1545 (Allergen List)</w:t>
      </w:r>
      <w:r>
        <w:rPr>
          <w:rFonts w:ascii="Calibri" w:hAnsi="Calibri" w:cs="Calibri" w:eastAsia="Calibri"/>
          <w:color w:val="000000"/>
          <w:spacing w:val="0"/>
          <w:position w:val="0"/>
          <w:sz w:val="20"/>
          <w:shd w:fill="auto" w:val="clear"/>
        </w:rPr>
        <w:t xml:space="preserve"> : </w:t>
      </w:r>
    </w:p>
    <w:tbl>
      <w:tblPr/>
      <w:tblGrid>
        <w:gridCol w:w="5499"/>
        <w:gridCol w:w="2268"/>
        <w:gridCol w:w="2268"/>
      </w:tblGrid>
      <w:tr>
        <w:trPr>
          <w:trHeight w:val="1" w:hRule="atLeast"/>
          <w:jc w:val="left"/>
        </w:trPr>
        <w:tc>
          <w:tcPr>
            <w:tcW w:w="5499"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Substance</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CAS</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EC</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coumarin</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91-64-5</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202-086-7</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(R)-p-mentha-1,8-diene</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5989-27-5</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227-813-5</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linalool</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78-70-6</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201-134-4</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cinnamaldehyde</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104-55-2</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203-213-9</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1-(2,6,6-trimethyl-3-cyclohexen-1-yl)-2-buten-1-one</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57378-68-4</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260-709-8</w: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CLP: Harmonised classification and labelling of hazardous substances (Annex VI, table 3.1)_ATP 17</w:t>
      </w:r>
      <w:r>
        <w:rPr>
          <w:rFonts w:ascii="Calibri" w:hAnsi="Calibri" w:cs="Calibri" w:eastAsia="Calibri"/>
          <w:color w:val="000000"/>
          <w:spacing w:val="0"/>
          <w:position w:val="0"/>
          <w:sz w:val="20"/>
          <w:shd w:fill="auto" w:val="clear"/>
        </w:rPr>
        <w:t xml:space="preserve"> : </w:t>
      </w:r>
    </w:p>
    <w:tbl>
      <w:tblPr/>
      <w:tblGrid>
        <w:gridCol w:w="5499"/>
        <w:gridCol w:w="2268"/>
        <w:gridCol w:w="2268"/>
      </w:tblGrid>
      <w:tr>
        <w:trPr>
          <w:trHeight w:val="1" w:hRule="atLeast"/>
          <w:jc w:val="left"/>
        </w:trPr>
        <w:tc>
          <w:tcPr>
            <w:tcW w:w="5499"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Substance</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CAS</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EC</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(R)-p-mentha-1,8-diene</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5989-27-5</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227-813-5</w: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REACH: Annex XVII (Restrictions)</w:t>
      </w:r>
      <w:r>
        <w:rPr>
          <w:rFonts w:ascii="Calibri" w:hAnsi="Calibri" w:cs="Calibri" w:eastAsia="Calibri"/>
          <w:color w:val="000000"/>
          <w:spacing w:val="0"/>
          <w:position w:val="0"/>
          <w:sz w:val="20"/>
          <w:shd w:fill="auto" w:val="clear"/>
        </w:rPr>
        <w:t xml:space="preserve"> : </w:t>
      </w:r>
    </w:p>
    <w:tbl>
      <w:tblPr/>
      <w:tblGrid>
        <w:gridCol w:w="5499"/>
        <w:gridCol w:w="2268"/>
        <w:gridCol w:w="2268"/>
      </w:tblGrid>
      <w:tr>
        <w:trPr>
          <w:trHeight w:val="1" w:hRule="atLeast"/>
          <w:jc w:val="left"/>
        </w:trPr>
        <w:tc>
          <w:tcPr>
            <w:tcW w:w="5499"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Substance</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CAS</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EC</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(R)-p-mentha-1,8-diene</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5989-27-5</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227-813-5</w:t>
            </w: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Réglementations nationales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Occupational Exposure Limit Values (long term) - Switzerland</w:t>
      </w:r>
      <w:r>
        <w:rPr>
          <w:rFonts w:ascii="Calibri" w:hAnsi="Calibri" w:cs="Calibri" w:eastAsia="Calibri"/>
          <w:color w:val="000000"/>
          <w:spacing w:val="0"/>
          <w:position w:val="0"/>
          <w:sz w:val="20"/>
          <w:shd w:fill="auto" w:val="clear"/>
        </w:rPr>
        <w:t xml:space="preserve"> : </w:t>
      </w:r>
    </w:p>
    <w:tbl>
      <w:tblPr/>
      <w:tblGrid>
        <w:gridCol w:w="5499"/>
        <w:gridCol w:w="2268"/>
        <w:gridCol w:w="2268"/>
      </w:tblGrid>
      <w:tr>
        <w:trPr>
          <w:trHeight w:val="1" w:hRule="atLeast"/>
          <w:jc w:val="left"/>
        </w:trPr>
        <w:tc>
          <w:tcPr>
            <w:tcW w:w="5499"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Substance</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CAS</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EC</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(R)-p-mentha-1,8-diene</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5989-27-5</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227-813-5</w: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Occupational Exposure Limit Values (short term) - Switzerland</w:t>
      </w:r>
      <w:r>
        <w:rPr>
          <w:rFonts w:ascii="Calibri" w:hAnsi="Calibri" w:cs="Calibri" w:eastAsia="Calibri"/>
          <w:color w:val="000000"/>
          <w:spacing w:val="0"/>
          <w:position w:val="0"/>
          <w:sz w:val="20"/>
          <w:shd w:fill="auto" w:val="clear"/>
        </w:rPr>
        <w:t xml:space="preserve"> : </w:t>
      </w:r>
    </w:p>
    <w:tbl>
      <w:tblPr/>
      <w:tblGrid>
        <w:gridCol w:w="5499"/>
        <w:gridCol w:w="2268"/>
        <w:gridCol w:w="2268"/>
      </w:tblGrid>
      <w:tr>
        <w:trPr>
          <w:trHeight w:val="1" w:hRule="atLeast"/>
          <w:jc w:val="left"/>
        </w:trPr>
        <w:tc>
          <w:tcPr>
            <w:tcW w:w="5499"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Substance</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CAS</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EC</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(R)-p-mentha-1,8-diene</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5989-27-5</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227-813-5</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15.2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Évaluation de la sécurité chimique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évaluation de la sécurité chimique n'a été effectuée pour cette substance/ce mélange par le fournisseur.</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16</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Autres informations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Indication des changements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applicable (première édition de la FDS).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Légende des abréviations et acronymes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 ° CAS : Numéro du Chemical Abstract Service.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IATA : International Air Transport Association.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IMDG : Code maritime international des marchandises dangereuses.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DPD : Directive Préparation Dangereuses.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 ONU: Numéro des Nations Unies.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 EC : Numéro Commission européenne.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ADN/ADNR : Règlement concernant le transport de substances dangereuses dans des barges sur les voies navigables.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ADR/RID : Accord européen relatif au transport international des marchandises dangereuses par route/Règlement concernant le transport international des marchandises dangereuses par chemin de fer.</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CLP: Classification, étiquetage et emballage.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VPvB : substances très persistantes et très bioaccumulables.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Références bibliographiques et sources de données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Classification des mélanges et méthode d'évaluation utilisée selon le règlement (CE) n ° 1272/2008 [CLP]</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 classification du mélange est conforme à la méthode d'évaluation décrite dans le règlement (CE) n° 1272/2008.</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Conforme à l'ATP 18, règlement (UE) n°2022/692.</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Phrases pertinentes R-, H- et EUH (Numéro et texte intégral)</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1134"/>
        <w:gridCol w:w="2835"/>
        <w:gridCol w:w="6066"/>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H226</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Flam. Liq. 3</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Liquide et vapeurs inflammables.</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H302</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Acute Tox. 4 ORAL</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Nocif en cas d'ingestion</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H304</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Asp. Tox. 1</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Peut être mortel en cas d'ingestion et de pénétration dans les voies respiratoires.</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H312</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Acute Tox. 4 DERMAL</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Nocif par contact avec la peau.</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H315</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Skin Irrit. 2</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Provoque une irritation cutanée.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H317</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Skin Sens. 1B</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Peut provoquer une allergie cutanée.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H319</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Eye Irrit. 2</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Provoque une sévère irritation des yeux</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H400</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Acute 1</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Très toxique pour les organismes aquatiques.</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H410</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Chronic 1</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Très toxique pour les organismes aquatiques, entraîne des effets néfastes à long terme.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H412</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Chronic 3</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Nocif pour les organismes aquatiques, entraîne des effets néfastes à long terme</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Conseils de formation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Reportez-vous aux sections 4, 5, 6, 7 et 8 de cette fiche de données de sécurité.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Date de création : 21/01/2025</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Date de version : 21/01/2025</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Date d'impression : 21/01/2025</w:t>
      </w:r>
    </w:p>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10035"/>
      </w:tblGrid>
      <w:tr>
        <w:trPr>
          <w:trHeight w:val="1" w:hRule="atLeast"/>
          <w:jc w:val="left"/>
        </w:trPr>
        <w:tc>
          <w:tcPr>
            <w:tcW w:w="100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Les informations fournies dans cette fiche de données de sécurité sont basées sur nos connaissances actuelles et sur les réglementations européennes et nationales. 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pPr>
        <w:spacing w:before="0" w:after="0" w:line="240"/>
        <w:ind w:right="0" w:left="0" w:firstLine="0"/>
        <w:jc w:val="left"/>
        <w:rPr>
          <w:rFonts w:ascii="Calibri" w:hAnsi="Calibri" w:cs="Calibri" w:eastAsia="Calibri"/>
          <w:color w:val="000000"/>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echa.europa.eu/fr/candidate-list-table"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