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539"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10/05/2022</w:t>
        <w:tab/>
        <w:t xml:space="preserve">Révision : 001NEW-1-CLP du 10/05/2022</w:t>
      </w:r>
    </w:p>
    <w:p>
      <w:pPr>
        <w:keepNext w:val="true"/>
        <w:keepLines w:val="true"/>
        <w:spacing w:before="0" w:after="136" w:line="259"/>
        <w:ind w:right="5"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Anais Anais Inspiré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Anais Anais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2-(phenylmethylidene)octanal (alpha-hexyl cinnamaldehyde), benzyl </w:t>
      </w:r>
    </w:p>
    <w:p>
      <w:pPr>
        <w:spacing w:before="0" w:after="327"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2-hydroxybenzoate (benzyl salicylate), 3-phenylprop-2-en-1-ol (cinnamyl alcohol), [cis-4-(propan-2-yl)cyclohexyl]methanol (mayol), (2E)-3,7-dimethylocta-2,6-dien-1-ol (geraniol), 3,7-dimethylocta-1,6-dien-3-yl acetate (linalyl acetate), 3,7dimethylocta-1,6-dien-3-ol (linalool), (2Z)-3,7-dimethylocta-2,6-dien-1-ol (nerol), reaction mass of 1-(1,2,3,4,5,6,7,8 and 1(1,2,3,4,6,7,8,8a and 1-(1,2,3,5,6,7,8,8a-octahydro-2,3,8,8-tetramethyl-2-naphthyl)ethan-1-one (iso e super).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2-(phenylmethylidene)octanal (alpha-hexyl cinnamaldehyde), benzyl 2-hydroxybenzoate (benzyl salicylate), 3-phenylprop-2-en-1-ol (cinnamyl alcohol), [cis-4-(propan-2-yl)cyclohexyl] methanol (mayol), (2E)-3,7-dimethylocta-2,6-dien-1-ol (geraniol), 3,7-dimethylocta-1,6-dien-3-yl acetate (linalyl acetate), 3,7-dimethylocta-1,6-dien-3-ol (linalool), (2Z)-3,7-dimethylocta-2,6-dien-1-ol (nerol), reaction mass of 1(1,2,3,4,5,6,7,8 and 1-(1,2,3,4,6,7,8,8a and 1-(1,2,3,5,6,7,8,8a-octahydro-2,3,8,8-tetramethyl-2-naphthyl)ethan-1-one (iso e super).  Peut produire une réaction allergique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4"/>
        <w:gridCol w:w="990"/>
        <w:gridCol w:w="781"/>
        <w:gridCol w:w="2997"/>
        <w:gridCol w:w="1318"/>
      </w:tblGrid>
      <w:tr>
        <w:trPr>
          <w:trHeight w:val="341" w:hRule="auto"/>
          <w:jc w:val="left"/>
        </w:trPr>
        <w:tc>
          <w:tcPr>
            <w:tcW w:w="3514" w:type="dxa"/>
            <w:tcBorders>
              <w:top w:val="single" w:color="000000" w:sz="2"/>
              <w:left w:val="single" w:color="000000" w:sz="2"/>
              <w:bottom w:val="single" w:color="000000" w:sz="2"/>
              <w:right w:val="single" w:color="000000" w:sz="4"/>
            </w:tcBorders>
            <w:shd w:color="000000" w:fill="ffffff" w:val="clear"/>
            <w:tcMar>
              <w:left w:w="62" w:type="dxa"/>
              <w:right w:w="62" w:type="dxa"/>
            </w:tcMar>
            <w:vAlign w:val="top"/>
          </w:tcPr>
          <w:p>
            <w:pPr>
              <w:spacing w:before="0" w:after="0" w:line="259"/>
              <w:ind w:right="2" w:left="0" w:firstLine="0"/>
              <w:jc w:val="center"/>
              <w:rPr>
                <w:spacing w:val="0"/>
                <w:position w:val="0"/>
              </w:rPr>
            </w:pPr>
            <w:r>
              <w:rPr>
                <w:rFonts w:ascii="Arial" w:hAnsi="Arial" w:cs="Arial" w:eastAsia="Arial"/>
                <w:color w:val="000000"/>
                <w:spacing w:val="0"/>
                <w:position w:val="0"/>
                <w:sz w:val="16"/>
                <w:shd w:fill="auto" w:val="clear"/>
              </w:rPr>
              <w:t xml:space="preserve">Matière</w:t>
            </w:r>
          </w:p>
        </w:tc>
        <w:tc>
          <w:tcPr>
            <w:tcW w:w="990" w:type="dxa"/>
            <w:tcBorders>
              <w:top w:val="single" w:color="000000" w:sz="2"/>
              <w:left w:val="single" w:color="000000" w:sz="4"/>
              <w:bottom w:val="single" w:color="000000" w:sz="2"/>
              <w:right w:val="single" w:color="000000" w:sz="5"/>
            </w:tcBorders>
            <w:shd w:color="000000" w:fill="ffffff" w:val="clear"/>
            <w:tcMar>
              <w:left w:w="62" w:type="dxa"/>
              <w:right w:w="62" w:type="dxa"/>
            </w:tcMar>
            <w:vAlign w:val="top"/>
          </w:tcPr>
          <w:p>
            <w:pPr>
              <w:spacing w:before="0" w:after="0" w:line="259"/>
              <w:ind w:right="0" w:left="0" w:firstLine="0"/>
              <w:jc w:val="center"/>
              <w:rPr>
                <w:spacing w:val="0"/>
                <w:position w:val="0"/>
              </w:rPr>
            </w:pPr>
            <w:r>
              <w:rPr>
                <w:rFonts w:ascii="Arial" w:hAnsi="Arial" w:cs="Arial" w:eastAsia="Arial"/>
                <w:color w:val="000000"/>
                <w:spacing w:val="0"/>
                <w:position w:val="0"/>
                <w:sz w:val="16"/>
                <w:shd w:fill="auto" w:val="clear"/>
              </w:rPr>
              <w:t xml:space="preserve">C.A.S</w:t>
            </w:r>
          </w:p>
        </w:tc>
        <w:tc>
          <w:tcPr>
            <w:tcW w:w="781" w:type="dxa"/>
            <w:tcBorders>
              <w:top w:val="single" w:color="000000" w:sz="2"/>
              <w:left w:val="single" w:color="000000" w:sz="5"/>
              <w:bottom w:val="single" w:color="000000" w:sz="2"/>
              <w:right w:val="single" w:color="000000" w:sz="4"/>
            </w:tcBorders>
            <w:shd w:color="000000" w:fill="ffffff" w:val="clear"/>
            <w:tcMar>
              <w:left w:w="62" w:type="dxa"/>
              <w:right w:w="62" w:type="dxa"/>
            </w:tcMar>
            <w:vAlign w:val="top"/>
          </w:tcPr>
          <w:p>
            <w:pPr>
              <w:spacing w:before="0" w:after="0" w:line="259"/>
              <w:ind w:right="0" w:left="0" w:firstLine="0"/>
              <w:jc w:val="both"/>
              <w:rPr>
                <w:spacing w:val="0"/>
                <w:position w:val="0"/>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000000" w:sz="2"/>
              <w:right w:val="single" w:color="000000" w:sz="4"/>
            </w:tcBorders>
            <w:shd w:color="000000" w:fill="ffffff" w:val="clear"/>
            <w:tcMar>
              <w:left w:w="62" w:type="dxa"/>
              <w:right w:w="62" w:type="dxa"/>
            </w:tcMar>
            <w:vAlign w:val="top"/>
          </w:tcPr>
          <w:p>
            <w:pPr>
              <w:spacing w:before="0" w:after="0" w:line="259"/>
              <w:ind w:right="0" w:left="0" w:firstLine="0"/>
              <w:jc w:val="center"/>
              <w:rPr>
                <w:spacing w:val="0"/>
                <w:position w:val="0"/>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000000" w:sz="2"/>
              <w:right w:val="single" w:color="000000" w:sz="2"/>
            </w:tcBorders>
            <w:shd w:color="000000" w:fill="ffffff" w:val="clear"/>
            <w:tcMar>
              <w:left w:w="62" w:type="dxa"/>
              <w:right w:w="62" w:type="dxa"/>
            </w:tcMar>
            <w:vAlign w:val="top"/>
          </w:tcPr>
          <w:p>
            <w:pPr>
              <w:spacing w:before="0" w:after="0" w:line="259"/>
              <w:ind w:right="0" w:left="18" w:firstLine="0"/>
              <w:jc w:val="left"/>
              <w:rPr>
                <w:spacing w:val="0"/>
                <w:position w:val="0"/>
              </w:rPr>
            </w:pPr>
            <w:r>
              <w:rPr>
                <w:rFonts w:ascii="Arial" w:hAnsi="Arial" w:cs="Arial" w:eastAsia="Arial"/>
                <w:color w:val="000000"/>
                <w:spacing w:val="0"/>
                <w:position w:val="0"/>
                <w:sz w:val="16"/>
                <w:shd w:fill="auto" w:val="clear"/>
              </w:rPr>
              <w:t xml:space="preserve">Pourcentage %</w:t>
            </w:r>
          </w:p>
        </w:tc>
      </w:tr>
      <w:tr>
        <w:trPr>
          <w:trHeight w:val="47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(2E)-3,7-dimethylocta-2,6-dien-1-ol (geraniol)</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(No REACH : 01-2119552430-49-XXXX)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106-24-1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203-377-1</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Dam. 1, Skin Irrit. 2, Skin Sens. 1 H315, H317, H318</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(2Z)-3,7-dimethylocta-2,6-dien-1-ol (nerol)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01-2119983244-33-XXXX)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106-25-2</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203-378-7</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01-2119539433-40-0000)</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1506-02-1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216-133-4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both"/>
              <w:rPr>
                <w:spacing w:val="0"/>
                <w:position w:val="0"/>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01-2119533092-50-XXXX)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101-86-0</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37"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01-2119474016-42-XXXX)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78-70-6</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201-134-4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115-95-7</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9" w:firstLine="0"/>
              <w:jc w:val="left"/>
              <w:rPr>
                <w:spacing w:val="0"/>
                <w:position w:val="0"/>
              </w:rPr>
            </w:pPr>
            <w:r>
              <w:rPr>
                <w:rFonts w:ascii="Arial" w:hAnsi="Arial" w:cs="Arial" w:eastAsia="Arial"/>
                <w:color w:val="000000"/>
                <w:spacing w:val="0"/>
                <w:position w:val="0"/>
                <w:sz w:val="14"/>
                <w:shd w:fill="auto" w:val="clear"/>
              </w:rPr>
              <w:t xml:space="preserve">204-116-4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3-phenylprop-2-en-1-ol (cinnamyl alcohol)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01-2119934496-29-XXXX)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104-54-1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203-212-3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[(Z)-hex-3-enyl] 2-hydroxybenzoate</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(cis-3-hexenyl salicylate)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01-2119987320-37-XXXX)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65405-77-8</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265-745-8</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2 H400, H411</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[cis-4-(propan-2-yl)cyclohexyl]methanol (mayol)</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  (No REACH : 01-2119983532-32-XXXX)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13828-37-0</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237-539-8</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118-58-1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204-262-9</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benzyl acetate   (No REACH : 01-2119638272-42-XXXX)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140-11-4</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205-399-7</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Aquatic Chronic 3 - H412</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32388-55-9</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251-020-3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37"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4" w:type="dxa"/>
            <w:tcBorders>
              <w:top w:val="single" w:color="c0c0c0" w:sz="2"/>
              <w:left w:val="single" w:color="c0c0c0" w:sz="2"/>
              <w:bottom w:val="single" w:color="c0c0c0" w:sz="3"/>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01-2119489989-04-XXXX)</w:t>
            </w:r>
          </w:p>
        </w:tc>
        <w:tc>
          <w:tcPr>
            <w:tcW w:w="990"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54464-57-2</w:t>
            </w:r>
          </w:p>
        </w:tc>
        <w:tc>
          <w:tcPr>
            <w:tcW w:w="781"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915-730-3</w:t>
            </w:r>
          </w:p>
        </w:tc>
        <w:tc>
          <w:tcPr>
            <w:tcW w:w="2997"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62"/>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62"/>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w:t>
      </w:r>
    </w:p>
    <w:p>
      <w:pPr>
        <w:spacing w:before="0" w:after="69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13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1528"/>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Couleur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Odeur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Point de fusion/point de congélation (@1 atm.)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Inflammabilité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Limites inférieure et supérieure d’explosion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Point d’éclair (°C)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Température d'auto-inflammation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pH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Viscosité cinématique (mm²/s)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rPr>
            </w:pPr>
            <w:r>
              <w:rPr>
                <w:rFonts w:ascii="Tahoma" w:hAnsi="Tahoma" w:cs="Tahoma" w:eastAsia="Tahoma"/>
                <w:b/>
                <w:color w:val="000000"/>
                <w:spacing w:val="0"/>
                <w:position w:val="0"/>
                <w:sz w:val="18"/>
                <w:shd w:fill="auto" w:val="clear"/>
              </w:rPr>
              <w:t xml:space="preserve">non déterminée</w:t>
            </w:r>
          </w:p>
        </w:tc>
      </w:tr>
    </w:tbl>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24"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3" w:firstLine="0"/>
              <w:jc w:val="center"/>
              <w:rPr>
                <w:spacing w:val="0"/>
                <w:position w:val="0"/>
              </w:rPr>
            </w:pPr>
            <w:r>
              <w:rPr>
                <w:rFonts w:ascii="Arial" w:hAnsi="Arial" w:cs="Arial" w:eastAsia="Arial"/>
                <w:b/>
                <w:color w:val="000000"/>
                <w:spacing w:val="0"/>
                <w:position w:val="0"/>
                <w:sz w:val="36"/>
                <w:shd w:fill="auto" w:val="clear"/>
              </w:rPr>
              <w:t xml:space="preserve">Fiche de données de sécurité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tabs>
                <w:tab w:val="center" w:pos="1834" w:leader="none"/>
              </w:tabs>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Édité le :</w:t>
              <w:tab/>
              <w:t xml:space="preserve">10/05/2022</w:t>
            </w:r>
          </w:p>
        </w:tc>
        <w:tc>
          <w:tcPr>
            <w:tcW w:w="3463" w:type="dxa"/>
            <w:tcBorders>
              <w:top w:val="single" w:color="7f7f7f" w:sz="2"/>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631" w:firstLine="0"/>
              <w:jc w:val="left"/>
              <w:rPr>
                <w:spacing w:val="0"/>
                <w:position w:val="0"/>
              </w:rPr>
            </w:pPr>
            <w:r>
              <w:rPr>
                <w:rFonts w:ascii="Arial" w:hAnsi="Arial" w:cs="Arial" w:eastAsia="Arial"/>
                <w:color w:val="000000"/>
                <w:spacing w:val="0"/>
                <w:position w:val="0"/>
                <w:sz w:val="16"/>
                <w:shd w:fill="auto" w:val="clear"/>
              </w:rPr>
              <w:t xml:space="preserve">Anais Anais inspiré  7%</w:t>
            </w:r>
          </w:p>
        </w:tc>
        <w:tc>
          <w:tcPr>
            <w:tcW w:w="3025"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spacing w:before="0" w:after="0" w:line="259"/>
              <w:ind w:right="0" w:left="0" w:firstLine="0"/>
              <w:jc w:val="both"/>
              <w:rPr>
                <w:spacing w:val="0"/>
                <w:position w:val="0"/>
              </w:rPr>
            </w:pPr>
            <w:r>
              <w:rPr>
                <w:rFonts w:ascii="Arial" w:hAnsi="Arial" w:cs="Arial" w:eastAsia="Arial"/>
                <w:color w:val="000000"/>
                <w:spacing w:val="0"/>
                <w:position w:val="0"/>
                <w:sz w:val="16"/>
                <w:shd w:fill="auto" w:val="clear"/>
              </w:rPr>
              <w:t xml:space="preserve">Révision : 001NEW-1-CLP du 10/05/2022</w:t>
            </w:r>
          </w:p>
        </w:tc>
      </w:tr>
      <w:tr>
        <w:trPr>
          <w:trHeight w:val="89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Caractéristiques des particules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439"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3"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Conditions de stockage :</w:t>
            </w:r>
          </w:p>
        </w:tc>
        <w:tc>
          <w:tcPr>
            <w:tcW w:w="3463" w:type="dxa"/>
            <w:tcBorders>
              <w:top w:val="single" w:color="000000" w:sz="0"/>
              <w:left w:val="single" w:color="000000" w:sz="0"/>
              <w:bottom w:val="single" w:color="7f7f7f" w:sz="2"/>
              <w:right w:val="single" w:color="000000" w:sz="0"/>
            </w:tcBorders>
            <w:shd w:color="000000" w:fill="ffffff" w:val="clear"/>
            <w:tcMar>
              <w:left w:w="0" w:type="dxa"/>
              <w:right w:w="0" w:type="dxa"/>
            </w:tcMar>
            <w:vAlign w:val="bottom"/>
          </w:tcPr>
          <w:p>
            <w:pPr>
              <w:spacing w:before="0" w:after="0" w:line="259"/>
              <w:ind w:right="-2557" w:left="0" w:firstLine="0"/>
              <w:jc w:val="both"/>
              <w:rPr>
                <w:spacing w:val="0"/>
                <w:position w:val="0"/>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c>
          <w:tcPr>
            <w:tcW w:w="3025"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56" w:firstLine="0"/>
              <w:jc w:val="left"/>
              <w:rPr>
                <w:spacing w:val="0"/>
                <w:position w:val="0"/>
                <w:sz w:val="22"/>
              </w:rPr>
            </w:pPr>
            <w:r>
              <w:rPr>
                <w:rFonts w:ascii="Arial" w:hAnsi="Arial" w:cs="Arial" w:eastAsia="Arial"/>
                <w:color w:val="000000"/>
                <w:spacing w:val="0"/>
                <w:position w:val="0"/>
                <w:sz w:val="22"/>
                <w:shd w:fill="auto" w:val="clear"/>
              </w:rPr>
              <w:t xml:space="preserve">10: STABILITE ET REACTIVITE</w:t>
            </w:r>
          </w:p>
        </w:tc>
      </w:tr>
    </w:tbl>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69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3" w:line="425"/>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3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306"/>
        </w:numPr>
        <w:spacing w:before="0" w:after="922"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309"/>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309"/>
        </w:numPr>
        <w:spacing w:before="0" w:after="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0"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4"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22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H318</w:t>
        <w:tab/>
        <w:t xml:space="preserve">Provoque de graves lésions des yeux.</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62">
    <w:abstractNumId w:val="12"/>
  </w:num>
  <w:num w:numId="306">
    <w:abstractNumId w:val="6"/>
  </w:num>
  <w:num w:numId="30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