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 : Identification de la substance/du mélange et de la société/de l’entreprise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984806"/>
          <w:spacing w:val="0"/>
          <w:position w:val="0"/>
          <w:sz w:val="22"/>
          <w:shd w:fill="auto" w:val="clear"/>
        </w:rPr>
      </w:pPr>
    </w:p>
    <w:tbl>
      <w:tblPr/>
      <w:tblGrid>
        <w:gridCol w:w="9634"/>
      </w:tblGrid>
      <w:tr>
        <w:trPr>
          <w:trHeight w:val="173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1.1. Identificateur de produit</w:t>
            </w:r>
          </w:p>
        </w:tc>
      </w:tr>
    </w:tbl>
    <w:p>
      <w:pPr>
        <w:tabs>
          <w:tab w:val="left" w:pos="3924" w:leader="none"/>
        </w:tabs>
        <w:spacing w:before="3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Nom</w:t>
      </w:r>
      <w:r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du</w:t>
      </w:r>
      <w:r>
        <w:rPr>
          <w:rFonts w:ascii="Arial" w:hAnsi="Arial" w:cs="Arial" w:eastAsia="Arial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  <w:t xml:space="preserve">produit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ab/>
        <w:t xml:space="preserve">:</w:t>
      </w:r>
      <w:r>
        <w:rPr>
          <w:rFonts w:ascii="Arial" w:hAnsi="Arial" w:cs="Arial" w:eastAsia="Arial"/>
          <w:color w:val="auto"/>
          <w:spacing w:val="66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FLORAL  10</w:t>
      </w:r>
      <w:r>
        <w:rPr>
          <w:rFonts w:ascii="Arial" w:hAnsi="Arial" w:cs="Arial" w:eastAsia="Arial"/>
          <w:b/>
          <w:color w:val="auto"/>
          <w:spacing w:val="-2"/>
          <w:position w:val="0"/>
          <w:sz w:val="16"/>
          <w:shd w:fill="auto" w:val="clear"/>
        </w:rPr>
        <w:t xml:space="preserve">%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1.2. Utilisations identifiées pertinentes de la substance ou du mélange et utilisations déconseillées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tabs>
          <w:tab w:val="left" w:pos="565" w:leader="none"/>
        </w:tabs>
        <w:spacing w:before="120" w:after="0" w:line="240"/>
        <w:ind w:right="0" w:left="564" w:hanging="445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Utilisations</w:t>
      </w:r>
      <w:r>
        <w:rPr>
          <w:rFonts w:ascii="Arial" w:hAnsi="Arial" w:cs="Arial" w:eastAsia="Arial"/>
          <w:b/>
          <w:color w:val="0070C0"/>
          <w:spacing w:val="-7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identifiées</w:t>
      </w:r>
      <w:r>
        <w:rPr>
          <w:rFonts w:ascii="Arial" w:hAnsi="Arial" w:cs="Arial" w:eastAsia="Arial"/>
          <w:b/>
          <w:color w:val="0070C0"/>
          <w:spacing w:val="-7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70C0"/>
          <w:spacing w:val="-2"/>
          <w:position w:val="0"/>
          <w:sz w:val="16"/>
          <w:shd w:fill="auto" w:val="clear"/>
        </w:rPr>
        <w:t xml:space="preserve">pertinentes</w:t>
      </w:r>
    </w:p>
    <w:p>
      <w:pPr>
        <w:tabs>
          <w:tab w:val="left" w:pos="565" w:leader="none"/>
        </w:tabs>
        <w:spacing w:before="120" w:after="0" w:line="240"/>
        <w:ind w:right="0" w:left="119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Catégorie d'usage principal</w:t>
        <w:tab/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Bougie/Fondant parfumé à destination du grand public</w:t>
      </w:r>
    </w:p>
    <w:p>
      <w:pPr>
        <w:tabs>
          <w:tab w:val="left" w:pos="565" w:leader="none"/>
        </w:tabs>
        <w:spacing w:before="120" w:after="0" w:line="240"/>
        <w:ind w:right="0" w:left="11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1.3. Renseignements concernant le fournisseur de la fiche de données de sécurité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256"/>
        <w:gridCol w:w="5806"/>
      </w:tblGrid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NOM :</w:t>
            </w: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ADRESSE :</w:t>
            </w: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TELEPHONE :</w:t>
            </w: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MAIL :</w:t>
            </w: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1.4. Numéro d’appel d’urgence</w:t>
            </w:r>
          </w:p>
        </w:tc>
      </w:tr>
    </w:tbl>
    <w:p>
      <w:pPr>
        <w:tabs>
          <w:tab w:val="left" w:pos="3924" w:leader="none"/>
        </w:tabs>
        <w:spacing w:before="120" w:after="0" w:line="288"/>
        <w:ind w:right="439" w:left="4088" w:hanging="3969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Belgique : +32 070 245 245</w:t>
      </w:r>
    </w:p>
    <w:p>
      <w:pPr>
        <w:tabs>
          <w:tab w:val="left" w:pos="3924" w:leader="none"/>
        </w:tabs>
        <w:spacing w:before="120" w:after="0" w:line="288"/>
        <w:ind w:right="439" w:left="4088" w:hanging="3969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France : +33 (0)1 45 42 59 59</w:t>
      </w:r>
    </w:p>
    <w:p>
      <w:pPr>
        <w:tabs>
          <w:tab w:val="left" w:pos="3924" w:leader="none"/>
        </w:tabs>
        <w:spacing w:before="120" w:after="0" w:line="288"/>
        <w:ind w:right="439" w:left="4088" w:hanging="3969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Luxembourg : +32 (0) 70 245 245</w:t>
      </w:r>
    </w:p>
    <w:p>
      <w:pPr>
        <w:tabs>
          <w:tab w:val="left" w:pos="3924" w:leader="none"/>
        </w:tabs>
        <w:spacing w:before="120" w:after="0" w:line="288"/>
        <w:ind w:right="439" w:left="4088" w:hanging="3969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2 : Identification des dangers</w:t>
            </w:r>
          </w:p>
        </w:tc>
      </w:tr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2.1 Classification de la substance ou du mélange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Classification selon le règlement (CE) N° 1272/2008 [CLP]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tbl>
      <w:tblPr/>
      <w:tblGrid>
        <w:gridCol w:w="6658"/>
        <w:gridCol w:w="2404"/>
      </w:tblGrid>
      <w:tr>
        <w:trPr>
          <w:trHeight w:val="1" w:hRule="atLeast"/>
          <w:jc w:val="left"/>
        </w:trPr>
        <w:tc>
          <w:tcPr>
            <w:tcW w:w="66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 1B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Sensibilisation cutan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ée catégorie 1B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3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Danger pour le milieu aquatique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Toxicit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chronique catégorie 3</w:t>
            </w:r>
          </w:p>
        </w:tc>
        <w:tc>
          <w:tcPr>
            <w:tcW w:w="24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2.2 Eléments d’étiquetage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Etiquetage selon le règlement (CE) N° 1272/2008 [CLP]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object w:dxaOrig="1020" w:dyaOrig="1020">
          <v:rect xmlns:o="urn:schemas-microsoft-com:office:office" xmlns:v="urn:schemas-microsoft-com:vml" id="rectole0000000000" style="width:51.000000pt;height:51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Pictogrammes de danger (CLP) 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Mention</w:t>
      </w:r>
      <w:r>
        <w:rPr>
          <w:rFonts w:ascii="Arial" w:hAnsi="Arial" w:cs="Arial" w:eastAsia="Arial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d'avertissement</w:t>
      </w:r>
      <w:r>
        <w:rPr>
          <w:rFonts w:ascii="Arial" w:hAnsi="Arial" w:cs="Arial" w:eastAsia="Arial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  <w:t xml:space="preserve">(CLP)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ab/>
        <w:t xml:space="preserve">:</w:t>
      </w:r>
      <w:r>
        <w:rPr>
          <w:rFonts w:ascii="Arial" w:hAnsi="Arial" w:cs="Arial" w:eastAsia="Arial"/>
          <w:color w:val="auto"/>
          <w:spacing w:val="7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  <w:tab/>
        <w:t xml:space="preserve">ATTENTION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Mentions de dangers (CLP)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H317 : Peut provoquer une allergie cutanée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H412 :  Nocif pour les organismes aquatiques, entraîne des effets néfastes à long terme.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Conseils de prudence (CLP)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271"/>
        <w:gridCol w:w="7791"/>
      </w:tblGrid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P101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En cas de consultation d'un médecin, garder à disposition le récipient ou l'étiquette.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P102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Tenir hors de portée des enfants.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P103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Lire l'étiquette avant utilisation.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P273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Eviter le rejet dans l’environnement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P302+P352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EN CAS DE CONTACT AVEC LA PEAU : Laver à l'eau et au savon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P332+P313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En cas d'irritation cutanée : consulter un médecin.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P501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Éliminer le récipient dans une installation de recyclage ou d'élimination des déchets approuvée.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EUH208 : Contient :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Linalyl acetate, Iso-E super, Linalool,4-tert-butylcyclohexyl acetate, dl-Citronellol, Nerol, Eugenol, cyclamen aldehyde, (Z)-beta-1-(2,6,6-Trimethyl-1-cyclohexen-1-yl)-2-buten-1-one, geraniol. Peut produire une réaction allergique.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ab/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2.3 Autres dangers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Résultats des évaluations PBT/vPvB : Non applicable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3 : Composition/informations</w:t>
            </w:r>
            <w:r>
              <w:rPr>
                <w:rFonts w:ascii="Arial" w:hAnsi="Arial" w:cs="Arial" w:eastAsia="Arial"/>
                <w:b/>
                <w:color w:val="FFFFFF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sur</w:t>
            </w:r>
            <w:r>
              <w:rPr>
                <w:rFonts w:ascii="Arial" w:hAnsi="Arial" w:cs="Arial" w:eastAsia="Arial"/>
                <w:b/>
                <w:color w:val="FFFFFF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les</w:t>
            </w:r>
            <w:r>
              <w:rPr>
                <w:rFonts w:ascii="Arial" w:hAnsi="Arial" w:cs="Arial" w:eastAsia="Arial"/>
                <w:b/>
                <w:color w:val="FFFFFF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FFFF"/>
                <w:spacing w:val="-2"/>
                <w:position w:val="0"/>
                <w:sz w:val="20"/>
                <w:shd w:fill="auto" w:val="clear"/>
              </w:rPr>
              <w:t xml:space="preserve">composants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3.1 Substances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Non applicable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3.2 Mélanges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2565"/>
        <w:gridCol w:w="1413"/>
        <w:gridCol w:w="1468"/>
        <w:gridCol w:w="1360"/>
        <w:gridCol w:w="2828"/>
      </w:tblGrid>
      <w:tr>
        <w:trPr>
          <w:trHeight w:val="394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NOM</w:t>
            </w: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N° CAS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N° EC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%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6"/>
                <w:shd w:fill="auto" w:val="clear"/>
              </w:rPr>
              <w:t xml:space="preserve">Classification selon le règlement (CE) N° 1272/2008 [CLP]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2,6-dimethyloct-7-en-2-ol (dihydromyrcenol)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18479-58-8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242-362-4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0.25-1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2;H315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Eye Irrit. 2;H319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Linalyl acetate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115-95-7</w:t>
              <w:tab/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204-116-4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0.25-1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2;H315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Eye Irrit. 2;H319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1;H317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1-(1,2,3,4,5,6,7,8-Octahydro-2,3,8,8-tetramethyl-2-naphthalenyl)ethanone (Iso-E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super)</w:t>
            </w: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54464-57-2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259-174-3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0.25-1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1, H410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2;H315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1;H317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Linalool</w:t>
            </w: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78-70-6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201-134-4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0.1-0.25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2;H315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Eye Irrit. 2;H319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1;H317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Amyl salicylate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2050-08-0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218-080-2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0.025-0.25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Acute 1, H400 (M=1); Aquatic Chronic 1, H410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Acute Tox. 4, H302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4-tert-butylcyclohexyl acetate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32210-23-4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250-954-9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0.1-0.25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1B;H317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dl-Citronellol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106-22-9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203-375-0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0.1-0.25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2;H315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Eye Irrit. 2;H319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1B;H317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Nerol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106-25-2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203-378-7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0.1-0.25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2;H315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Eye Irrit. 2;H319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1B;H317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(R)-p-mentha-1,8-diene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5989-27-5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227-813-5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0.1-0.25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Flam. Liq. 3, H226;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Asp. Tox. 1, H304;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Acute 1, H400 (M=1); Aquatic Chronic 1, H410;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Eugenol</w:t>
            </w: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97-53-0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202-589-1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0.01-0.1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Eye Irrit. 2;H319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1;H317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2-Methyl-3-(p-isopropylphenyl)propionaldehyde (cyclamen aldehyde)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103-95-7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203-161-7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0.01-0.1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2, H315;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1, H317;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3, H412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(Z)-beta-1-(2,6,6-Trimethyl-1-cyclohexen-1-yl)-2-buten-1-one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23726-92-3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245-843-7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0.025-0.1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2, H411;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2, H315;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1, H317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geraniol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106-24-1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203-377-1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0.01-0.1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Eye Dam. 1, H318;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2, H315;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1, H317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Texte intégral des mentions H et EUH : voir rubrique 16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4 : Premiers secours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4.1 Description des mesures de premiers secours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823"/>
        <w:gridCol w:w="5239"/>
      </w:tblGrid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Premiers soins après inhalation</w:t>
              <w:tab/>
              <w:t xml:space="preserve">                :</w:t>
            </w:r>
          </w:p>
        </w:tc>
        <w:tc>
          <w:tcPr>
            <w:tcW w:w="5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Transporter la personne à l’extérieur et la maintenir dans une position où elle peut confortablement respirer.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Premiers soins après contact avec la peau</w:t>
              <w:tab/>
              <w:t xml:space="preserve">:</w:t>
            </w:r>
          </w:p>
        </w:tc>
        <w:tc>
          <w:tcPr>
            <w:tcW w:w="5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Laver la peau avec beaucoup d'eau. En cas d’irritation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ou d'éruption cutanée: consulter un médecin.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Premiers soins après contact oculaire</w:t>
              <w:tab/>
              <w:t xml:space="preserve">                :</w:t>
            </w:r>
          </w:p>
        </w:tc>
        <w:tc>
          <w:tcPr>
            <w:tcW w:w="5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Rincer les yeux à l'eau par mesure de précaution.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Premiers soins après ingestion</w:t>
              <w:tab/>
              <w:t xml:space="preserve">                :</w:t>
            </w:r>
          </w:p>
        </w:tc>
        <w:tc>
          <w:tcPr>
            <w:tcW w:w="5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Appeler un centre antipoison ou un médecin en cas de malaise.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4.2 Principaux symptômes et effets, aigus et différés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823"/>
        <w:gridCol w:w="5239"/>
      </w:tblGrid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Peut provoquer une allergie cutanée</w:t>
            </w:r>
          </w:p>
        </w:tc>
        <w:tc>
          <w:tcPr>
            <w:tcW w:w="5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4.3 Indication des éventuels soins médicaux immédiats et traitements particuliers nécessaires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Traitement symptomatique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5 : Mesures de lutte contre l’incendie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5.1 Moyens d’extinction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Moyens d'extinction appropriés                           :</w:t>
            </w: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Eau pulvérisée. Poudre sèche. Mousse. Dioxyde de carbone.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5.2 Dangers particuliers résultant de la substance ou du mélange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  <w:gridCol w:w="572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Produits de décomposition dangereux en cas d'incendie                                                           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Dégagement possible de fumées toxiques.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56" w:hRule="auto"/>
          <w:jc w:val="left"/>
        </w:trPr>
        <w:tc>
          <w:tcPr>
            <w:tcW w:w="96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5.3 Conseils aux pompiers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  <w:gridCol w:w="572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Protection en cas d'incendie                              :</w:t>
            </w: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 pas intervenir sans un équipement de protection adapté. Appareil de protection respiratoire autonome isolant. Protection complète du corps.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09" w:hRule="auto"/>
          <w:jc w:val="left"/>
        </w:trPr>
        <w:tc>
          <w:tcPr>
            <w:tcW w:w="96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6 : Mesures à prendre en cas de dispersion accidentelle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6.1 Précautions individuelles, équipement de protection et procédures d’urgence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6.1.1 Pour les non-secouristes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Procédures d’urgence                                         : </w:t>
            </w: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Ventiler la zone. Eviter le contact avec la peau et les yeux. Éviter de respirer les poussières/fumées/gaz/brouillards/vapeurs/aérosols.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6.1.2 Pour les secouristes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  <w:gridCol w:w="572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Equipement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16"/>
                <w:shd w:fill="auto" w:val="clear"/>
              </w:rPr>
              <w:t xml:space="preserve"> protection                                     :</w:t>
            </w: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 pas intervenir sans un équipement de protection adapté. Pour plus d'informations, se reporter à la rubrique 8 : "Contrôle de l'exposition-protection individuelle".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56" w:hRule="auto"/>
          <w:jc w:val="left"/>
        </w:trPr>
        <w:tc>
          <w:tcPr>
            <w:tcW w:w="96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6.2 Précautions pour la protection de l’environnement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Eviter le rejet dans l’environnement.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6.3 Méthodes et matériel de confinement et de nettoyage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Eliminer les matières ou résidus solides dans un centre autorisé.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6.4 Références à d’autres rubriques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Pour plus d'informations, se reporter à la rubrique 13.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7 : Manipulation et stockage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7.1 Précautions à prendre pour une manipulation sans danger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Ne pas manger, boire ou fumer en manipulant ce produit. Se laver les mains après toute manipulation.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7.2 Conditions d'un stockage sûr, y compris les éventuelles incompatibilités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539"/>
        <w:gridCol w:w="5523"/>
        <w:gridCol w:w="572"/>
      </w:tblGrid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Conditions de stockage                                    :</w:t>
            </w: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Stocker à l’abri de la lumière.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Température de stockage                                :</w:t>
            </w: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Eviter les températures extrêmes.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Prescriptions particulières concernant         l'emballage                                                       :</w:t>
            </w: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Stocker dans un récipient fermé.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Matériaux d'emballage                                     :</w:t>
            </w: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 pas conserver dans un métal sensible à la corrosion.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9" w:hRule="auto"/>
          <w:jc w:val="left"/>
        </w:trPr>
        <w:tc>
          <w:tcPr>
            <w:tcW w:w="96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8 : Contrôles de l’exposition/protection individuelle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8.1 Paramètres de contrôle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Non applicable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8.2 Contrôles de l’exposition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Non applicable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9 : Propriétés physiques et chimiques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9.1 Informations sur les propriétés physiques et chimiques essentielles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4531"/>
        <w:gridCol w:w="4531"/>
      </w:tblGrid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État physique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Solide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Couleur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Odeur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Caractéristique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Seuil Olfactif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Point de fusion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applicable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Point d’ébullition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Point de congélation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Inflammabilité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applicable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Limites d’explosivité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Limite inférieure d'explosion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Limite supérieure d'explosion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Point éclair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&gt;100°C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Température d'auto-inflammation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Température de décomposition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pH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Viscosité, cinématique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Solubilité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Coefficient de partage n-octanol/eau (Log Kow)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Pression de vapeur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Pression de vapeur à 50°C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Masse volumique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Densité relative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Densité relative de vapeur à 20°C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Caractéristiques d’une particule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applicable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9.2 Autres informations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10 : Stabilité et réactivité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10.1 Réactivité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Le produit n'est pas réactif dans les conditions normales d'utilisation, de stockage et de transport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10.2 Stabilité chimique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Stable dans les conditions normales.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10.3 Possibilité de réactions dangereuses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de réaction dangereuse connue dans les conditions normales d'emploi.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10.4 Conditions à éviter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Aucune dans des conditions de stockage et de manipulation recommandées (voir rubrique 7).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10.5 Matières incompatibles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10.6 Produits de décomposition dangereux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Aucun produit de décomposition dangereux ne devrait être généré dans les conditions normales de stockage et d'emploi.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11 : Informations toxicologiques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11.1 Informations sur les classes de danger telles que définies dans le règlement (CE) n° 1272/2008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4531"/>
        <w:gridCol w:w="4531"/>
      </w:tblGrid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aiguë (orale)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aiguë (cutanée)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aiguë (Inhalation)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Corrosion cutanée/irritation cutanée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Lésions oculaires graves/irritation oculaire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Sensibilisation respiratoire ou cutanée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Peut provoquer une allergie cutanée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Mutagénicité sur les cellules germinales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Cancérogénicité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pour la reproduction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spécifique pour certains organes cibles (STOT) (exposition unique)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spécifique pour certains organes cibles (STOT) (exposition répétée)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Danger par aspiration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11.2 Informations sur les autres dangers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d'informations complémentaires disponibles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12 : Informations écologiques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12.1 Toxicité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2547"/>
        <w:gridCol w:w="6515"/>
      </w:tblGrid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Ecologie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énéral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Dangers pour le milieu aquatique, à court terme (aiguë)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Dangers pour le milieu aquatique, à long terme (chronique)</w:t>
            </w:r>
          </w:p>
        </w:tc>
        <w:tc>
          <w:tcPr>
            <w:tcW w:w="6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Nocif pour les organismes aquatiques, entraîne des effets néfastes à long terme.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12.2 Persistance et dégradabilité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Le produit n’a pas été testé. Pas de données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12.3 Potentiel de bioaccumulation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Le produit n’a pas été testé. Pas de données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12.4 Mobilité dans le sol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12.5 Résultats des évaluations PBT et vPvB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12.6 Propriétés perturbant le système endocrinien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12.7 Autres effets néfastes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13 : Considérations relatives à l’élimination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13.1 Méthodes de traitement des déchets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2972"/>
        <w:gridCol w:w="6090"/>
      </w:tblGrid>
      <w:tr>
        <w:trPr>
          <w:trHeight w:val="1" w:hRule="atLeast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Méthodes de traitement des déchets</w:t>
            </w:r>
          </w:p>
        </w:tc>
        <w:tc>
          <w:tcPr>
            <w:tcW w:w="60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Eliminer le contenu/récipient conformément aux consignes de tri du collecteur agréé.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14 : Informations relatives au transport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En conformité avec: ADR / IMDG / IATA / ADN / RID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WGK : 1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980"/>
        <w:gridCol w:w="1984"/>
        <w:gridCol w:w="1845"/>
        <w:gridCol w:w="1842"/>
        <w:gridCol w:w="1983"/>
      </w:tblGrid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ADR</w:t>
            </w: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IMDG</w:t>
            </w:r>
          </w:p>
        </w:tc>
        <w:tc>
          <w:tcPr>
            <w:tcW w:w="1845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IATA</w:t>
            </w:r>
          </w:p>
        </w:tc>
        <w:tc>
          <w:tcPr>
            <w:tcW w:w="1842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ADN</w:t>
            </w:r>
          </w:p>
        </w:tc>
        <w:tc>
          <w:tcPr>
            <w:tcW w:w="198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RID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14.1.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ONU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d’identification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14.2.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Désignation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officielle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transport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l'ONU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14.3.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Classe(s)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danger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pour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le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transport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14.4.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Groupe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d’emballage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14.5.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Dangers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pour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l'environnement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15 : Informations relatives à la réglementation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15.1 Réglementations/législation particulières à la substance ou au mélange en matière de sécurité, de santé et d’environnement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>
      <w:pPr>
        <w:spacing w:before="96" w:after="0" w:line="288"/>
        <w:ind w:right="232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15.2 Évaluation de la sécurité chimique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Aucune évaluation de la sécurité chimique n'a été effectuée pour cette substance/mélange par le fournisseur ?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16 : Autres informations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88"/>
        <w:gridCol w:w="1701"/>
        <w:gridCol w:w="6945"/>
      </w:tblGrid>
      <w:tr>
        <w:trPr>
          <w:trHeight w:val="1" w:hRule="atLeast"/>
          <w:jc w:val="left"/>
        </w:trPr>
        <w:tc>
          <w:tcPr>
            <w:tcW w:w="9634" w:type="dxa"/>
            <w:gridSpan w:val="3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Texte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intégral</w:t>
            </w:r>
            <w:r>
              <w:rPr>
                <w:rFonts w:ascii="Arial" w:hAnsi="Arial" w:cs="Arial" w:eastAsia="Arial"/>
                <w:b/>
                <w:color w:val="0070C0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des</w:t>
            </w:r>
            <w:r>
              <w:rPr>
                <w:rFonts w:ascii="Arial" w:hAnsi="Arial" w:cs="Arial" w:eastAsia="Arial"/>
                <w:b/>
                <w:color w:val="0070C0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phrases</w:t>
            </w:r>
            <w:r>
              <w:rPr>
                <w:rFonts w:ascii="Arial" w:hAnsi="Arial" w:cs="Arial" w:eastAsia="Arial"/>
                <w:b/>
                <w:color w:val="0070C0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H et 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EUH: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H226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Flam. Liq. 3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Liquide et vapeurs inflammables.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H302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Acute Tox. 4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Nocif en cas d’ingestion.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H304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Asp. Tox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Provoque des lésions oculaires graves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Provoque une irritation cutanée.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H317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 1B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Peut provoquer une allergie cutanée.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H318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Eye Dam.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Peut être mortel en cas d’ingestion et de pénétration dans les voies respiratoires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Eye Irrit. 2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Provoque une sévère irritation des yeux.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H400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Acute 1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Très toxique pour les organismes aquatiques.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H410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1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Très toxique pour les organismes aquatiques, entraîne des effets néfastes à long terme.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H411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2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Toxique pour les organismes aquatiques, entraîne des effets néfastes à long terme.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H412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Nocif pour les organismes aquatiques, entraîne des effets néfastes à long terme.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95" w:after="0" w:line="444"/>
        <w:ind w:right="6101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Fiche de données de sécurité (FDS), UE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Ces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informations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sont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basées</w:t>
      </w:r>
      <w:r>
        <w:rPr>
          <w:rFonts w:ascii="Arial" w:hAnsi="Arial" w:cs="Arial" w:eastAsia="Arial"/>
          <w:color w:val="808080"/>
          <w:spacing w:val="-3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sur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nos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connaissances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actuelles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et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décrivent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le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produit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pour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les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seuls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besoins</w:t>
      </w:r>
      <w:r>
        <w:rPr>
          <w:rFonts w:ascii="Arial" w:hAnsi="Arial" w:cs="Arial" w:eastAsia="Arial"/>
          <w:color w:val="808080"/>
          <w:spacing w:val="-3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de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la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santé,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de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la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sécurité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et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de l’environnement. Elles ne devraient donc pas être interprétées comme garantissant une quelconque propriété spécifique du produit.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