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tabs>
          <w:tab w:val="center" w:pos="4768" w:leader="none"/>
          <w:tab w:val="left" w:pos="6810" w:leader="none"/>
        </w:tabs>
        <w:spacing w:before="0" w:after="136" w:line="259"/>
        <w:ind w:right="84" w:left="0" w:firstLine="0"/>
        <w:jc w:val="left"/>
        <w:rPr>
          <w:rFonts w:ascii="Arial" w:hAnsi="Arial" w:cs="Arial" w:eastAsia="Arial"/>
          <w:color w:val="073D48"/>
          <w:spacing w:val="0"/>
          <w:position w:val="0"/>
          <w:sz w:val="22"/>
          <w:shd w:fill="D49C14" w:val="clear"/>
        </w:rPr>
      </w:pPr>
      <w:r>
        <w:rPr>
          <w:rFonts w:ascii="Arial" w:hAnsi="Arial" w:cs="Arial" w:eastAsia="Arial"/>
          <w:b/>
          <w:color w:val="073D48"/>
          <w:spacing w:val="0"/>
          <w:position w:val="0"/>
          <w:sz w:val="32"/>
          <w:shd w:fill="D49C14" w:val="clear"/>
        </w:rPr>
        <w:tab/>
        <w:t xml:space="preserve">Pomme d'amour 10%</w:t>
        <w:tab/>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115" w:line="251"/>
        <w:ind w:right="0" w:left="-5" w:hanging="1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Pomme d'amour 10%</w:t>
      </w:r>
    </w:p>
    <w:p>
      <w:pPr>
        <w:spacing w:before="0" w:after="3" w:line="265"/>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156" w:line="265"/>
        <w:ind w:right="67" w:left="747" w:hanging="10"/>
        <w:jc w:val="both"/>
        <w:rPr>
          <w:rFonts w:ascii="Arial" w:hAnsi="Arial" w:cs="Arial" w:eastAsia="Arial"/>
          <w:color w:val="073D48"/>
          <w:spacing w:val="0"/>
          <w:position w:val="0"/>
          <w:sz w:val="20"/>
          <w:shd w:fill="auto" w:val="clear"/>
        </w:rPr>
      </w:pP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color w:val="073D48"/>
          <w:spacing w:val="0"/>
          <w:position w:val="0"/>
          <w:sz w:val="20"/>
          <w:shd w:fill="auto" w:val="clear"/>
        </w:rPr>
        <w:tab/>
      </w: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3" w:line="265"/>
        <w:ind w:right="67" w:left="747" w:hanging="10"/>
        <w:jc w:val="both"/>
        <w:rPr>
          <w:rFonts w:ascii="Arial" w:hAnsi="Arial" w:cs="Arial" w:eastAsia="Arial"/>
          <w:color w:val="073D48"/>
          <w:spacing w:val="0"/>
          <w:position w:val="0"/>
          <w:sz w:val="20"/>
          <w:shd w:fill="auto" w:val="clear"/>
        </w:rPr>
      </w:pP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H412 - Nocif pour les organismes aquatiques, entraîne des effets néfastes à long terme.</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EUH208 - Contient hexyl 2-hydroxybenzoate (hexyl salicylate).  Peut produire une réaction allergique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Aquatic Chronic 3 Dangers pour le milieu aquatique - toxicité chronique 3</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H412 - Nocif pour les organismes aquatiques, entraîne des effets néfastes à long terme.</w:t>
      </w:r>
    </w:p>
    <w:p>
      <w:pPr>
        <w:spacing w:before="0" w:after="0"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P273 - Éviter le rejet dans l’environnement.</w:t>
      </w:r>
    </w:p>
    <w:p>
      <w:pPr>
        <w:spacing w:before="0" w:after="19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P501 - Éliminer le contenu/récipient dans …</w:t>
      </w:r>
    </w:p>
    <w:p>
      <w:pPr>
        <w:spacing w:before="0" w:after="481"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EUH208 - Contient hexyl 2-hydroxybenzoate (hexyl salicylate).  Peut produire une réaction allergique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48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(cis-2-tert-butylcyclohexyl) acetate (verdox)</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(No REACH : 01-2119970713-33-XXXX)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88" w:firstLine="0"/>
              <w:jc w:val="left"/>
              <w:rPr>
                <w:spacing w:val="0"/>
                <w:position w:val="0"/>
                <w:shd w:fill="auto" w:val="clear"/>
              </w:rPr>
            </w:pPr>
            <w:r>
              <w:rPr>
                <w:rFonts w:ascii="Arial" w:hAnsi="Arial" w:cs="Arial" w:eastAsia="Arial"/>
                <w:color w:val="073D48"/>
                <w:spacing w:val="0"/>
                <w:position w:val="0"/>
                <w:sz w:val="14"/>
                <w:shd w:fill="auto" w:val="clear"/>
              </w:rPr>
              <w:t xml:space="preserve">20298-69-5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243-718-1</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Aquatic Chronic 2 -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73D48"/>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73D48"/>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47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hexyl 2-hydroxybenzoate (hexyl salicylate)   (No REACH : 01-2119638275-36-0000)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73D48"/>
                <w:spacing w:val="0"/>
                <w:position w:val="0"/>
                <w:sz w:val="14"/>
                <w:shd w:fill="auto" w:val="clear"/>
              </w:rPr>
              <w:t xml:space="preserve">6259-76-3</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228-408-6</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58" w:left="0" w:firstLine="0"/>
              <w:jc w:val="left"/>
              <w:rPr>
                <w:spacing w:val="0"/>
                <w:position w:val="0"/>
                <w:shd w:fill="auto" w:val="clear"/>
              </w:rPr>
            </w:pPr>
            <w:r>
              <w:rPr>
                <w:rFonts w:ascii="Arial" w:hAnsi="Arial" w:cs="Arial" w:eastAsia="Arial"/>
                <w:color w:val="073D48"/>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spacing w:before="0" w:after="3" w:line="265"/>
        <w:ind w:right="67" w:left="-5" w:hanging="10"/>
        <w:jc w:val="both"/>
        <w:rPr>
          <w:rFonts w:ascii="Arial" w:hAnsi="Arial" w:cs="Arial" w:eastAsia="Arial"/>
          <w:color w:val="073D48"/>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2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15"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15"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0"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3" w:line="265"/>
        <w:ind w:right="2006" w:left="-5" w:hanging="10"/>
        <w:jc w:val="left"/>
        <w:rPr>
          <w:rFonts w:ascii="Arial" w:hAnsi="Arial" w:cs="Arial" w:eastAsia="Arial"/>
          <w:color w:val="073D48"/>
          <w:spacing w:val="0"/>
          <w:position w:val="0"/>
          <w:sz w:val="18"/>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spacing w:before="0" w:after="3" w:line="265"/>
        <w:ind w:right="2006" w:left="-5" w:hanging="10"/>
        <w:jc w:val="left"/>
        <w:rPr>
          <w:rFonts w:ascii="Arial" w:hAnsi="Arial" w:cs="Arial" w:eastAsia="Arial"/>
          <w:color w:val="073D48"/>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p>
      <w:pPr>
        <w:spacing w:before="0" w:after="95"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0"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Couleur :</w:t>
      </w:r>
    </w:p>
    <w:tbl>
      <w:tblPr/>
      <w:tblGrid>
        <w:gridCol w:w="3096"/>
        <w:gridCol w:w="2314"/>
      </w:tblGrid>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18"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52" w:line="265"/>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5" w:line="425"/>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197"/>
        </w:numPr>
        <w:spacing w:before="0" w:after="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197"/>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02"/>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02"/>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w:t>
      </w:r>
    </w:p>
    <w:p>
      <w:pPr>
        <w:spacing w:before="0" w:after="701"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p>
      <w:pPr>
        <w:spacing w:before="0" w:after="542"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12.7. Autres effets néfastes Pas de données à ce jour.</w:t>
      </w:r>
    </w:p>
    <w:tbl>
      <w:tblPr/>
      <w:tblGrid>
        <w:gridCol w:w="9699"/>
        <w:gridCol w:w="4879"/>
      </w:tblGrid>
      <w:tr>
        <w:trPr>
          <w:trHeight w:val="77" w:hRule="auto"/>
          <w:jc w:val="left"/>
        </w:trPr>
        <w:tc>
          <w:tcPr>
            <w:tcW w:w="14578"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139" w:hRule="auto"/>
          <w:jc w:val="left"/>
        </w:trPr>
        <w:tc>
          <w:tcPr>
            <w:tcW w:w="9699"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tbl>
            <w:tblPr/>
            <w:tblGrid>
              <w:gridCol w:w="6615"/>
              <w:gridCol w:w="3025"/>
            </w:tblGrid>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40"/>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0" w:line="240"/>
              <w:ind w:right="0" w:left="0" w:firstLine="0"/>
              <w:jc w:val="left"/>
              <w:rPr>
                <w:spacing w:val="0"/>
                <w:position w:val="0"/>
              </w:rPr>
            </w:pPr>
          </w:p>
        </w:tc>
        <w:tc>
          <w:tcPr>
            <w:tcW w:w="4879"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bl>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IATA :NON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7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5"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3185"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5226"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6">
    <w:abstractNumId w:val="12"/>
  </w:num>
  <w:num w:numId="197">
    <w:abstractNumId w:val="6"/>
  </w:num>
  <w:num w:numId="20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