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Identificateur de produit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Inspiré de "J’adore" 10%.</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identifiées pertinentes de la substance ou du mélange et utilisations déconseillées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Bougie parfumée à destination du grand public.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Renseignements concernant le fournisseur de la fiche de données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d’appel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33 (0)1 45 42 59 59.BELGIQUE 070.245.245</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Classification de la substance ou du mélange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Classification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Identification des dangers : Ce mélange n' est pas classé comme dangereux.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b/>
                <w:color w:val="000000"/>
                <w:spacing w:val="0"/>
                <w:position w:val="0"/>
                <w:sz w:val="26"/>
                <w:u w:val="single"/>
                <w:shd w:fill="auto" w:val="clear"/>
              </w:rPr>
            </w:pPr>
            <w:r>
              <w:rPr>
                <w:rFonts w:ascii="Calibri" w:hAnsi="Calibri" w:cs="Calibri" w:eastAsia="Calibri"/>
                <w:b/>
                <w:color w:val="000000"/>
                <w:spacing w:val="0"/>
                <w:position w:val="0"/>
                <w:sz w:val="26"/>
                <w:u w:val="single"/>
                <w:shd w:fill="auto" w:val="clear"/>
              </w:rPr>
              <w:t xml:space="preserve">Éléments d’étiquetage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7F7F7F"/>
                <w:spacing w:val="0"/>
                <w:position w:val="0"/>
                <w:sz w:val="22"/>
                <w:shd w:fill="auto" w:val="clear"/>
              </w:rPr>
              <w:t xml:space="preserve">Éléments d'étiquetage conformément au règlement (CE) n°1272/2008 (CLP) et ses amendements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404040"/>
          <w:spacing w:val="0"/>
          <w:position w:val="0"/>
          <w:sz w:val="22"/>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04040"/>
                <w:spacing w:val="0"/>
                <w:position w:val="0"/>
                <w:sz w:val="24"/>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Informations supplémentaires sur les dangers (UE)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EUH208</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Contient </w:t>
            </w:r>
            <w:r>
              <w:rPr>
                <w:rFonts w:ascii="Calibri" w:hAnsi="Calibri" w:cs="Calibri" w:eastAsia="Calibri"/>
                <w:color w:val="000000"/>
                <w:spacing w:val="0"/>
                <w:position w:val="0"/>
                <w:sz w:val="20"/>
                <w:shd w:fill="auto" w:val="clear"/>
              </w:rPr>
              <w:t xml:space="preserve">α-hexylcinnamaldehyde, linalool, 3-p-cumenyl-2-methylpropionaldehyde, 1-(1,2,3,4,5,6,7,8-octahydro-2,3,8,8-tetramethyl-2-naphthyl)ethan-1-one, 3-methyl-4-(2,6,6-trimethyl-2-cyclohexen-1-yl)-3-buten-2-one, citronellol, linalyl acetate, benzyl salicylate. Peut produire une r</w:t>
            </w:r>
            <w:r>
              <w:rPr>
                <w:rFonts w:ascii="Calibri" w:hAnsi="Calibri" w:cs="Calibri" w:eastAsia="Calibri"/>
                <w:color w:val="000000"/>
                <w:spacing w:val="0"/>
                <w:position w:val="0"/>
                <w:sz w:val="20"/>
                <w:shd w:fill="auto" w:val="clear"/>
              </w:rPr>
              <w:t xml:space="preserve">éaction allergique.</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En cas de consultation d’un médecin, garder à disposition le récipient ou l’étiquette.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P102</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Tenir hors de portée des enfants.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P103</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Lire l’étiquette avant utilisation.</w:t>
            </w:r>
          </w:p>
        </w:tc>
      </w:tr>
    </w:tbl>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Mises en garde - Élimination</w:t>
      </w:r>
    </w:p>
    <w:tbl>
      <w:tblPr/>
      <w:tblGrid>
        <w:gridCol w:w="1134"/>
        <w:gridCol w:w="8901"/>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P501</w:t>
            </w:r>
          </w:p>
        </w:tc>
        <w:tc>
          <w:tcPr>
            <w:tcW w:w="890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Éliminer le contenu/récipient conformément à la réglementation locale.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Mélanges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à la connaissance du produit, aucun nanomatériau n'a été identifié.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334"/>
        <w:gridCol w:w="1501"/>
        <w:gridCol w:w="1701"/>
        <w:gridCol w:w="1701"/>
        <w:gridCol w:w="3685"/>
      </w:tblGrid>
      <w:tr>
        <w:trPr>
          <w:trHeight w:val="567" w:hRule="auto"/>
          <w:jc w:val="left"/>
        </w:trPr>
        <w:tc>
          <w:tcPr>
            <w:tcW w:w="2835"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linalool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2790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603-235-00-2</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01-2119474016-42-XXXX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α-hexylcinnamaldehyde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0.31%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3100 mg/kg</w:t>
              <w:br/>
              <w:t xml:space="preserve">M=1 (toxicité aiguë)</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H400     Aquatic Acute 1</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benzyl salicylate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118-58-1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0.27%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2200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H319     Eye Irrit. 2</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204-262-9</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607-754-00-5</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01-2119969442-31-XXXX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linalyl acetate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0.18%</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204-116-4</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01-2119454789-19-XXXX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citronellol</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106-22-9</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3450 mg/kg</w:t>
              <w:br/>
              <w:t xml:space="preserve">ETA (cutanée): 2650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Eye Irrit.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203-375-0</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01-2119453995-23-XXXX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3-methyl-4-(2,6,6-trimethyl-2-cyclohexen-1-yl)-3-buten-2-one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127-51-5</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     Aquatic Chronic 2</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204-846-3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01-2120138569-45-XXXX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1-(1,2,3,4,5,6,7,8-octahydro-2,3,8,8-tetramethyl-2-naphthyl)ethan-1-one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54464-57-2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0.12%</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Macute = 1</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     Aquatic Chronic 1</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259-174-3</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3-p-cumenyl-2-methylpropionaldehyde</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103-95-7</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 0.11%</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ETA (orale): 3810 mg/kg</w:t>
            </w:r>
          </w:p>
        </w:tc>
        <w:tc>
          <w:tcPr>
            <w:tcW w:w="368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000000"/>
                <w:spacing w:val="0"/>
                <w:position w:val="0"/>
                <w:sz w:val="20"/>
                <w:u w:val="single"/>
                <w:shd w:fill="auto" w:val="clear"/>
              </w:rPr>
            </w:pPr>
            <w:r>
              <w:rPr>
                <w:rFonts w:ascii="Calibri" w:hAnsi="Calibri" w:cs="Calibri" w:eastAsia="Calibri"/>
                <w:color w:val="000000"/>
                <w:spacing w:val="0"/>
                <w:position w:val="0"/>
                <w:sz w:val="20"/>
                <w:shd w:fill="auto" w:val="clear"/>
              </w:rPr>
              <w:t xml:space="preserve">H315     Skin Irrit. 2</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Skin Sens. 1B</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     Aquatic Chronic 3</w:t>
            </w: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203-161-7</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Numéro d'enregistrement</w:t>
            </w:r>
          </w:p>
        </w:tc>
        <w:tc>
          <w:tcPr>
            <w:tcW w:w="15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01-2119970582-32-XXXX</w:t>
            </w: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Remarque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Description des mesures de premiers secours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Principaux symptômes et effets, aigus et différés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éventuels soins médicaux immédiats et traitements particuliers nécessaires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Moyens d’extinction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particuliers résultant de la substance ou du mélange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aux pompiers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dispersion accidentelle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individuelles, équipement de protection et procédures d’urgence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pour la protection de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et matériel de confinement et de nettoyage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 à d'autres sections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à prendre pour une manipulation sans danger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d’un stockage sûr, y compris les éventuelles incompatibilités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Stocker à température ambiante et à l'écart de toute source de chaleur.</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Utilisation(s) finale(s) particulière(s)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Paramètres de contrôle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Contrôles de l’exposition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techniques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Mesures de protection individuelle, telles que les équipements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Protection oculaire appropriée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Protection des mains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Protection du corps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7F7F7F"/>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Appareil de protection respiratoire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mesure spéciale n'est nécessaire.</w:t>
            </w: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Contrôles d’exposition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propriétés physiques et chimiques essentielles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Solid</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Déterminé(e)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Fleuri - Fruité</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&gt; 100°C</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(valeur log)</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Non applicable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dynamique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 cinématique</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Caractéristiques des particules</w:t>
            </w:r>
          </w:p>
        </w:tc>
        <w:tc>
          <w:tcPr>
            <w:tcW w:w="3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informations de sécurité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Informations concernant les classes de danger physique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2"/>
          <w:shd w:fill="auto" w:val="clear"/>
        </w:rPr>
        <w:t xml:space="preserve">Autres caractéristiques de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Réactivité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Stabilité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Possibilité de réactions dangereuses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Conditions à éviter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Matières incompatibles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Produits de décomposition dangereux</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classes de danger telles que définies dans le règlement (CE) no 1272/2008</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orale aiguë</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voie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aiguë par inhalation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Corrosion/irritation cutanée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Lésions oculaires graves/irritation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 la peau</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répétée)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spécifique pour certains organes cibles (exposition ponctuelle)</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Cancérogenicité</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Toxicité pour la reproduction</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Mutagénicité des cellules germinales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Sensibilisation des voies respiratoires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404040"/>
          <w:spacing w:val="0"/>
          <w:position w:val="0"/>
          <w:sz w:val="24"/>
          <w:u w:val="single"/>
          <w:shd w:fill="auto" w:val="clear"/>
        </w:rPr>
      </w:pPr>
      <w:r>
        <w:rPr>
          <w:rFonts w:ascii="Calibri" w:hAnsi="Calibri" w:cs="Calibri" w:eastAsia="Calibri"/>
          <w:b/>
          <w:color w:val="404040"/>
          <w:spacing w:val="0"/>
          <w:position w:val="0"/>
          <w:sz w:val="24"/>
          <w:u w:val="single"/>
          <w:shd w:fill="auto" w:val="clear"/>
        </w:rPr>
        <w:t xml:space="preserve">Informations complémentaires</w:t>
      </w:r>
      <w:r>
        <w:rPr>
          <w:rFonts w:ascii="Calibri" w:hAnsi="Calibri" w:cs="Calibri" w:eastAsia="Calibri"/>
          <w:b/>
          <w:color w:val="404040"/>
          <w:spacing w:val="0"/>
          <w:position w:val="0"/>
          <w:sz w:val="24"/>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sur les autres dangers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Propriétés perturbant le système endocrinien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Toxicité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Persistance et dégradabilité</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Potentiel de bioaccumulation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Mobilité dans le sol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Résultats des évaluations PBT et vPvB</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Conformément au règlement (UE) 1907/2006, aucune substance n'est évaluée comme PBT ou vPvB.</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Propriétés perturbant le système endocrinien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Selon le règlement (UE) 2017/2100 ou le règlement (UE) 2018/605, aucune substance n'est connue pour avoir des propriétés de perturbation endocrinienne.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Autres effets néfastes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écotoxicologiques supplémentaires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Méthodes de traitement des déchets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Numéro 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Désignation officielle de transport de l’ONU</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Classe(s) de danger pour le transport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Groupe d’emballage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Dangers pour l’environnement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Précautions particulières à prendre par l’utilisateur</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Transport maritime en vrac conformément aux instruments de l'OMI</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Réglementations/Législation particulières à la substance ou au mélange en matière de sécurité, de santé et d’environnement</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p>
      <w:pPr>
        <w:spacing w:before="0" w:after="0" w:line="240"/>
        <w:ind w:right="0" w:left="0" w:firstLine="0"/>
        <w:jc w:val="left"/>
        <w:rPr>
          <w:rFonts w:ascii="Calibri" w:hAnsi="Calibri" w:cs="Calibri" w:eastAsia="Calibri"/>
          <w:b/>
          <w:color w:val="404040"/>
          <w:spacing w:val="0"/>
          <w:position w:val="0"/>
          <w:sz w:val="24"/>
          <w:shd w:fill="auto" w:val="clear"/>
        </w:rPr>
      </w:pPr>
      <w:r>
        <w:rPr>
          <w:rFonts w:ascii="Calibri" w:hAnsi="Calibri" w:cs="Calibri" w:eastAsia="Calibri"/>
          <w:b/>
          <w:color w:val="404040"/>
          <w:spacing w:val="0"/>
          <w:position w:val="0"/>
          <w:sz w:val="24"/>
          <w:shd w:fill="auto" w:val="clear"/>
        </w:rPr>
        <w:t xml:space="preserve">Législation européenne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COMMISSION REGULATION (EU) 2023/1545 (Allergen List) : </w:t>
      </w:r>
    </w:p>
    <w:tbl>
      <w:tblPr/>
      <w:tblGrid>
        <w:gridCol w:w="5499"/>
        <w:gridCol w:w="2268"/>
        <w:gridCol w:w="2268"/>
      </w:tblGrid>
      <w:tr>
        <w:trPr>
          <w:trHeight w:val="1" w:hRule="atLeast"/>
          <w:jc w:val="left"/>
        </w:trPr>
        <w:tc>
          <w:tcPr>
            <w:tcW w:w="5499"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CAS</w:t>
            </w:r>
          </w:p>
        </w:tc>
        <w:tc>
          <w:tcPr>
            <w:tcW w:w="226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EC</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linalool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78-70-6</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201-134-4</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α-hexylcinnamaldehyde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101-86-0</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202-983-3</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benzyl salicylate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118-58-1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204-262-9</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citronellol</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106-22-9</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203-375-0</w:t>
            </w:r>
          </w:p>
        </w:tc>
      </w:tr>
      <w:tr>
        <w:trPr>
          <w:trHeight w:val="1" w:hRule="atLeast"/>
          <w:jc w:val="left"/>
        </w:trPr>
        <w:tc>
          <w:tcPr>
            <w:tcW w:w="54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3-methyl-4-(2,6,6-trimethyl-2-cyclohexen-1-yl)-3-buten-2-one</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127-51-5</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204-846-3</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Évaluation de la sécurité chimique</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737" w:hRule="auto"/>
          <w:jc w:val="left"/>
        </w:trPr>
        <w:tc>
          <w:tcPr>
            <w:tcW w:w="227" w:type="dxa"/>
            <w:tcBorders>
              <w:top w:val="single" w:color="000000" w:sz="0"/>
              <w:left w:val="single" w:color="000000" w:sz="0"/>
              <w:bottom w:val="single" w:color="000000" w:sz="0"/>
              <w:right w:val="single" w:color="000000" w:sz="4"/>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4"/>
              <w:left w:val="single" w:color="000000" w:sz="0"/>
              <w:bottom w:val="single" w:color="000000" w:sz="4"/>
              <w:right w:val="single" w:color="000000" w:sz="4"/>
            </w:tcBorders>
            <w:shd w:color="auto" w:fill="auto"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tc>
        <w:tc>
          <w:tcPr>
            <w:tcW w:w="9978" w:type="dxa"/>
            <w:tcBorders>
              <w:top w:val="single" w:color="000000" w:sz="4"/>
              <w:left w:val="single" w:color="000000" w:sz="4"/>
              <w:bottom w:val="single" w:color="000000" w:sz="4"/>
              <w:right w:val="single" w:color="000000" w:sz="4"/>
            </w:tcBorders>
            <w:shd w:color="auto" w:fill="auto"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4"/>
              <w:bottom w:val="single" w:color="000000" w:sz="0"/>
              <w:right w:val="single" w:color="000000" w:sz="0"/>
            </w:tcBorders>
            <w:shd w:color="auto" w:fill="auto"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Indication des changements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Légende des abréviations et acronymes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Références bibliographiques et sources de données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Classification des mélanges et méthode d'évaluation utilisée selon le règlement (CE) n ° 1272/2008 [CLP]</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Conforme à l'ATP 18, règlement (UE) n°2022/692.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Phrases pertinentes R-, H- et EUH (Numéro et texte intégral)</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H400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Acute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H410</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1</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Très 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H411</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2</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Toxique pour les organismes aquatiques, entraîne des effets néfastes à long terme.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H412</w:t>
            </w:r>
          </w:p>
        </w:tc>
        <w:tc>
          <w:tcPr>
            <w:tcW w:w="28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Aquatic Chronic 3</w:t>
            </w:r>
          </w:p>
        </w:tc>
        <w:tc>
          <w:tcPr>
            <w:tcW w:w="60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Nocif pour les organismes aquatiques, entraîne des effets néfastes à long terme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Conseils de formation</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34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6"/>
                <w:u w:val="single"/>
                <w:shd w:fill="auto" w:val="clear"/>
              </w:rPr>
              <w:t xml:space="preserve">Informations complémentaires</w:t>
            </w:r>
          </w:p>
        </w:tc>
      </w:tr>
      <w:tr>
        <w:trPr>
          <w:trHeight w:val="20"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22/01/2025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22/01/2025</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22/01/2025</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fournies dans cette fiche de données de sécurité sont basées sur nos connaissances actuelles et sur les réglementations européennes et nationales. 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echa.europa.eu/fr/candidate-list-tabl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