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LIBRE INSPIRE 10%.</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440" w:hRule="auto"/>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(R)-p-mentha-1,8-diene, [3R-(3</w:t>
            </w:r>
            <w:r>
              <w:rPr>
                <w:rFonts w:ascii="Calibri" w:hAnsi="Calibri" w:cs="Calibri" w:eastAsia="Calibri"/>
                <w:color w:val="000000"/>
                <w:spacing w:val="0"/>
                <w:position w:val="0"/>
                <w:sz w:val="20"/>
                <w:shd w:fill="auto" w:val="clear"/>
              </w:rPr>
              <w:t xml:space="preserve">α,3aβ,7β,8aα)]-1-(2,3,4,7,8,8a-hexahydro-3,6,8,8-tetramethyl-1H-3a,7-methanoazulen-5-yl)ethan-1-one, 1-(1,2,3,4,5,6,7,8-octahydro-2,3,8,8-tetramethyl-2-naphthyl)ethan-1-one, α-hexylcinnamaldehyde, 3,7-dimethylnona-1,6-dien-3-ol, linalyl acetate, 7-hydroxycitronellal. Peut produire une r</w:t>
            </w:r>
            <w:r>
              <w:rPr>
                <w:rFonts w:ascii="Calibri" w:hAnsi="Calibri" w:cs="Calibri" w:eastAsia="Calibri"/>
                <w:color w:val="000000"/>
                <w:spacing w:val="0"/>
                <w:position w:val="0"/>
                <w:sz w:val="20"/>
                <w:shd w:fill="auto" w:val="clear"/>
              </w:rPr>
              <w:t xml:space="preserve">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[2-ethyl-4-(2,2,3-trimethyl-3-cyclopenten-1-yl)-2-buten-1-ol, CAS: 28219-61-6, EC: 248-908-8; (ethoxymethoxy)cyclododecane, CAS: 58567-11-6, EC: 261-332-1] est/sont évalué(s)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0.773%</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α-hexylcinnamaldehyde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0.7639999999%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3100 mg/kg</w:t>
              <w:b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(R)-p-mentha-1,8-diene</w:t>
            </w:r>
            <w:r>
              <w:rPr>
                <w:rFonts w:ascii="Calibri" w:hAnsi="Calibri" w:cs="Calibri" w:eastAsia="Calibri"/>
                <w:color w:val="000000"/>
                <w:spacing w:val="0"/>
                <w:position w:val="0"/>
                <w:sz w:val="20"/>
                <w:shd w:fill="auto" w:val="clear"/>
              </w:rPr>
              <w:t xml:space="preserve">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0.534%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H226     Flam. Liq. 3</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H304     Asp. Tox. 1</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601-096-00-2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01-2119529223-47-XXXX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3,7-dimethylnona-1,6-dien-3-ol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10339-55-6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0.309%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5000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233-732-6</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01-2119969272-32-XXXX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0.287%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01-2119454789-19-XXXX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[3R-(3</w:t>
            </w:r>
            <w:r>
              <w:rPr>
                <w:rFonts w:ascii="Calibri" w:hAnsi="Calibri" w:cs="Calibri" w:eastAsia="Calibri"/>
                <w:b/>
                <w:color w:val="000000"/>
                <w:spacing w:val="0"/>
                <w:position w:val="0"/>
                <w:sz w:val="20"/>
                <w:shd w:fill="auto" w:val="clear"/>
              </w:rPr>
              <w:t xml:space="preserve">α,3aβ,7β,8aα)]-1-(2,3,4,7,8,8a-hexahydro-3,6,8,8-tetramethyl-1H-3a,7-methanoazulen-5-yl)ethan-1-one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32388-55-9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0.155%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4500 mg/kg</w:t>
              <w:br/>
              <w:t xml:space="preserve">M=1 (toxicité aiguë)</w:t>
              <w:br/>
              <w:t xml:space="preserve">M=1 (toxicité chronique)</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251-020-3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01-2119969651-28-XXXX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2-ethyl-4-(2,2,3-trimethyl-3-cyclopenten-1-yl)-2-buten-1-ol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28219-61-6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0.141%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248-908-8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01-2119529224-45-XXXX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7-hydroxycitronellal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107-75-5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0.136%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203-518-7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01-2119973482-31-XXXX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(ethoxymethoxy)cyclododecane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58567-11-6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0.045%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261-332-1</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01-2119971571-34-XXXX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 Substances pour lesquelles des limites maximales d'exposition en milieu de travail sont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tbl>
      <w:tblPr/>
      <w:tblGrid>
        <w:gridCol w:w="2835"/>
        <w:gridCol w:w="1701"/>
        <w:gridCol w:w="1701"/>
        <w:gridCol w:w="3685"/>
      </w:tblGrid>
      <w:tr>
        <w:trPr>
          <w:trHeight w:val="1" w:hRule="atLeast"/>
          <w:jc w:val="left"/>
        </w:trPr>
        <w:tc>
          <w:tcPr>
            <w:tcW w:w="283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Valeur</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Unité</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Type</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Florale - Orangée - Boisée - Gourmande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[2-ethyl-4-(2,2,3-trimethyl-3-cyclopenten-1-yl)-2-buten-1-ol, CAS: 28219-61-6, EC: 248-908-8; (ethoxymethoxy)cyclododecane, CAS: 58567-11-6, EC: 261-332-1] est/sont évalué(s)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COMMISSION REGULATION (EU) 2023/1545 (Allergen List)</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α-hexylcinnamaldehyde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7-hydroxycitronellal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107-75-5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203-518-7</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CLP: Harmonised classification and labelling of hazardous substances (Annex VI, table 3.1)_ATP 17</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REACH: Annex XVII (Restrictions)</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Réglementations nationales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(long term) - Switzerland</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Occupational Exposure Limit Values (short term) - Switzerland</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(R)-p-mentha-1,8-diene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5989-27-5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227-813-5</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H226</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Flam. Liq.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 et vapeurs inflammables.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H304</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Asp. Tox.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être mortel en cas d'ingestion et de pénétration dans les voies respiratoires.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13/01/2025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13/01/2025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13/01/2025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