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 Identification de la substance/du mélange et de la société/de l’entreprise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 Identificateur de produit</w:t>
      </w:r>
    </w:p>
    <w:tbl>
      <w:tblPr/>
      <w:tblGrid>
        <w:gridCol w:w="3685"/>
        <w:gridCol w:w="282"/>
        <w:gridCol w:w="6521"/>
      </w:tblGrid>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Forme du produit</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Mélange</w:t>
            </w:r>
          </w:p>
        </w:tc>
      </w:tr>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Nom commercial</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FDS 10% - Monoï Ochidée</w:t>
            </w:r>
          </w:p>
        </w:tc>
      </w:tr>
      <w:tr>
        <w:trPr>
          <w:trHeight w:val="20" w:hRule="auto"/>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 produits</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Bougies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 Utilisations identifiées pertinentes de la substance ou du mélange et utilisations déconseillées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1.2.1. Utilisations identifiées pertinentes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Destiné au grand public</w:t>
      </w:r>
    </w:p>
    <w:tbl>
      <w:tblPr/>
      <w:tblGrid>
        <w:gridCol w:w="3685"/>
        <w:gridCol w:w="282"/>
        <w:gridCol w:w="6521"/>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Catégorie d’usage principal</w:t>
            </w:r>
          </w:p>
        </w:tc>
        <w:tc>
          <w:tcPr>
            <w:tcW w:w="28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Utilisation par les consommateurs</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1.2.2. Utilisations déconseillées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 Renseignements concernant le fournisseur de la fiche de données de sécurité</w:t>
      </w:r>
    </w:p>
    <w:tbl>
      <w:tblPr/>
      <w:tblGrid>
        <w:gridCol w:w="10485"/>
      </w:tblGrid>
      <w:tr>
        <w:trPr>
          <w:trHeight w:val="1" w:hRule="atLeast"/>
          <w:jc w:val="left"/>
        </w:trPr>
        <w:tc>
          <w:tcPr>
            <w:tcW w:w="104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Fabricant</w:t>
            </w:r>
          </w:p>
          <w:p>
            <w:pPr>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color w:val="auto"/>
                <w:spacing w:val="0"/>
                <w:position w:val="0"/>
                <w:sz w:val="16"/>
                <w:u w:val="single"/>
                <w:shd w:fill="auto" w:val="clear"/>
              </w:rPr>
              <w:t xml:space="preserve">(Votre société)</w:t>
              <w:br/>
              <w:t xml:space="preserve">(votre adresse)</w:t>
              <w:br/>
              <w:t xml:space="preserve">(votre code postal) (votre ville)</w:t>
              <w:br/>
              <w:t xml:space="preserve">(votre pays)</w:t>
              <w:br/>
              <w:t xml:space="preserve">T (votre n° de téléphone)</w:t>
              <w:br/>
            </w:r>
            <w:hyperlink xmlns:r="http://schemas.openxmlformats.org/officeDocument/2006/relationships" r:id="docRId0">
              <w:r>
                <w:rPr>
                  <w:rFonts w:ascii="Arial" w:hAnsi="Arial" w:cs="Arial" w:eastAsia="Arial"/>
                  <w:color w:val="0000EE"/>
                  <w:spacing w:val="0"/>
                  <w:position w:val="0"/>
                  <w:sz w:val="16"/>
                  <w:u w:val="single"/>
                  <w:shd w:fill="auto" w:val="clear"/>
                </w:rPr>
                <w:t xml:space="preserve">(votre email)</w:t>
              </w:r>
            </w:hyperlink>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 Numéro d’appel d’urgence</w:t>
      </w:r>
    </w:p>
    <w:tbl>
      <w:tblPr/>
      <w:tblGrid>
        <w:gridCol w:w="1416"/>
        <w:gridCol w:w="3119"/>
        <w:gridCol w:w="2267"/>
        <w:gridCol w:w="1984"/>
        <w:gridCol w:w="1702"/>
      </w:tblGrid>
      <w:tr>
        <w:trPr>
          <w:trHeight w:val="1" w:hRule="atLeast"/>
          <w:jc w:val="left"/>
        </w:trPr>
        <w:tc>
          <w:tcPr>
            <w:tcW w:w="1416"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Pays</w:t>
            </w:r>
          </w:p>
        </w:tc>
        <w:tc>
          <w:tcPr>
            <w:tcW w:w="3119"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Organisme/Société</w:t>
            </w:r>
          </w:p>
        </w:tc>
        <w:tc>
          <w:tcPr>
            <w:tcW w:w="2267"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Adresse</w:t>
            </w:r>
          </w:p>
        </w:tc>
        <w:tc>
          <w:tcPr>
            <w:tcW w:w="1984"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Numéro d’urgence</w:t>
            </w:r>
          </w:p>
        </w:tc>
        <w:tc>
          <w:tcPr>
            <w:tcW w:w="1702"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Commentaire</w:t>
            </w:r>
          </w:p>
        </w:tc>
      </w:tr>
      <w:tr>
        <w:trPr>
          <w:trHeight w:val="1" w:hRule="atLeast"/>
          <w:jc w:val="left"/>
        </w:trPr>
        <w:tc>
          <w:tcPr>
            <w:tcW w:w="141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France</w:t>
            </w:r>
          </w:p>
        </w:tc>
        <w:tc>
          <w:tcPr>
            <w:tcW w:w="31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ORFILA</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+33 1 45 42 59 59</w:t>
            </w:r>
          </w:p>
        </w:tc>
        <w:tc>
          <w:tcPr>
            <w:tcW w:w="1702"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Ce numéro permet d’obtenir les coordonnées de tous les centres Anti-poison Français. Ces centres anti-poison et de toxicovigilance fournissent une aide médicale gratuite (hors coût d’appel), 24 heures sur 24 et 7 jours sur 7.</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2: Identification des dangers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2.1. Classification de la substance ou du mélange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4500"/>
        <w:gridCol w:w="2020"/>
        <w:gridCol w:w="1134"/>
        <w:gridCol w:w="2835"/>
      </w:tblGrid>
      <w:tr>
        <w:trPr>
          <w:trHeight w:val="1" w:hRule="atLeast"/>
          <w:jc w:val="left"/>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w:t>
            </w:r>
          </w:p>
        </w:tc>
        <w:tc>
          <w:tcPr>
            <w:tcW w:w="20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c>
          <w:tcPr>
            <w:tcW w:w="20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2.2. Éléments d’étiquetage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tbl>
      <w:tblPr/>
      <w:tblGrid>
        <w:gridCol w:w="3684"/>
        <w:gridCol w:w="285"/>
        <w:gridCol w:w="1077"/>
        <w:gridCol w:w="1077"/>
        <w:gridCol w:w="1076"/>
        <w:gridCol w:w="1077"/>
        <w:gridCol w:w="1078"/>
        <w:gridCol w:w="1133"/>
      </w:tblGrid>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Pictogrammes de danger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0" style="width:60.000000pt;height:60.0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GHS07</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 d’avertissement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Attention</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Contient</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ACETATE LINALYLE; ALDEHYDE HEXYL CINNAMIQUE; GERANIOL; HYDROXYCITRONELLAL; LINALOL; METHYLIONONE GAMMA</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Mentions de danger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 Peut provoquer une allergie cutanée.</w:t>
              <w:br/>
              <w:t xml:space="preserve">H412 - Nocif pour les organismes aquatiques, entraîne des effets néfastes à long terme.</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Conseils de prudence (CLP)</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18"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P102 - Tenir hors de portée des enfants.</w:t>
              <w:br/>
              <w:t xml:space="preserve">P261 - Éviter de respirer les poussières/fumées/gaz/brouillards/vapeurs/aérosols.</w:t>
              <w:br/>
              <w:t xml:space="preserve">P272 - Les vêtements de travail contaminés ne devraient pas sortir du lieu de travail.</w:t>
              <w:br/>
              <w:t xml:space="preserve">P273 - Éviter le rejet dans l’environnement.</w:t>
              <w:br/>
              <w:t xml:space="preserve">P280 - Porter des gants de protection/des vêtements de protection/un équipement de protection des yeux/du visage/une protection auditive.</w:t>
              <w:br/>
              <w:t xml:space="preserve">P302+P352 - EN CAS DE CONTACT AVEC LA PEAU: Laver abondamment à l’eau.</w:t>
              <w:br/>
              <w:t xml:space="preserve">P321 - Traitement spécifique (voir les instructions complémentaires de premiers secours sur cette étiquette).</w:t>
              <w:br/>
              <w:t xml:space="preserve">P333+P313 - En cas d’irritation ou d’éruption cutanée: consulter un médecin.</w:t>
              <w:br/>
              <w:t xml:space="preserve">P362+P364 - Enlever les vêtements contaminés et les laver avant réutilisation.</w:t>
              <w:br/>
              <w:t xml:space="preserve">P501 - Éliminer le contenu/récipient dans un centre de collecte de déchets dangereux ou spéciaux, conformément à la réglementation locale, régionale, nationale et/ou internationale.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2.3. Autres dangers</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3: Composition/informations sur les composants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3.1. Substances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3.2. Mélanges</w:t>
      </w:r>
    </w:p>
    <w:tbl>
      <w:tblPr/>
      <w:tblGrid>
        <w:gridCol w:w="3969"/>
        <w:gridCol w:w="2267"/>
        <w:gridCol w:w="1134"/>
        <w:gridCol w:w="3118"/>
      </w:tblGrid>
      <w:tr>
        <w:trPr>
          <w:trHeight w:val="1" w:hRule="atLeast"/>
          <w:jc w:val="left"/>
        </w:trPr>
        <w:tc>
          <w:tcPr>
            <w:tcW w:w="3969"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2267"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Identificateur de produit</w:t>
            </w:r>
          </w:p>
        </w:tc>
        <w:tc>
          <w:tcPr>
            <w:tcW w:w="1134"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w:t>
            </w:r>
          </w:p>
        </w:tc>
        <w:tc>
          <w:tcPr>
            <w:tcW w:w="3118" w:type="dxa"/>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Classification selon le règlement (CE) N° 1272/2008 [CLP]</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HYDROXYCITRONELLAL</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107-75-5</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203-518-7</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01-2119973482-31</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1,445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ACETATE BENZYLE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140-11-4</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205-399-7</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01-2119638272-42</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1,33</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 H412</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AMYL CINNAMIQUE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122-40-7</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204-541-5</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01-2119978288-18-, 01-2120763171-61</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1,3</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HEXYL CINNAMIQUE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101-86-0</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202-983-3</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01-2119533092-50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1,17013</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 H400</w:t>
              <w:br/>
              <w:t xml:space="preserve">Aquatic Chronic 2, H411</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LINALOL</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78-70-6</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201-134-4</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Index: 603-235-00-2</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01-2119474016-42-0000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0,76</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Irrit. 2, H315</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SALICYLATE AMYLE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2050-08-0</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218-080-2</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01-2119969444-27-XXXX</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0,55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 (par voie orale), H302</w:t>
              <w:br/>
              <w:t xml:space="preserve">Aquatic Acute 1, H400</w:t>
              <w:br/>
              <w:t xml:space="preserve">Aquatic Chronic 1, H410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METHYLIONONE GAMMA</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127-51-5</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204-846-3</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01-2119471851-35-0000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0,27</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ACETATE LINALYLE</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115-95-7</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204-116-4</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01-2119454789-19-0001</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0,14</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Irrit. 2, H315</w:t>
              <w:br/>
              <w:t xml:space="preserve">Skin Sens. 1B, H317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GERANIOL</w:t>
            </w:r>
          </w:p>
        </w:tc>
        <w:tc>
          <w:tcPr>
            <w:tcW w:w="226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106-24-1</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203-377-1</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Index: 603-241-00-5</w:t>
            </w:r>
          </w:p>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01-2119552430-49-0000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0,14</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 H315</w:t>
              <w:br/>
              <w:t xml:space="preserve">Eye Dam. 1, H318</w:t>
              <w:br/>
              <w:t xml:space="preserve">Skin Sens. 1, H317</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4: Premiers secours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4.1. Description des mesures de premiers secours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général</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jamais administrer quelque chose par la bouche à une personne inconsciente. En cas de malaise consulter un médecin (si possible lui montrer l’étiquette).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Permettre au sujet de respirer de l’air frais. Mettre la victime au repos.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immédiatement et abondamment à l’eau. Consulter un médecin si la douleur ou la rougeur persistent.</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la bouche. NE PAS faire vomir. Consulter d’urgence un médecin.</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4.2. Principaux symptômes et effets, aigus et différés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Symptômes/effets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4.3. Indication des éventuels soins médicaux immédiats et traitements particuliers nécessaires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5: Mesures de lutte contre l’incendie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5.1. Moyens d’extinction</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Mousse. Poudre sèche. Dioxyde de carbone. Eau pulvérisée. Sable.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Agents d’extinction non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utiliser un fort courant d’eau.</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5.2. Dangers particuliers résultant de la substance ou du mélange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5.3. Conseils aux pompiers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Instructions de lutte contre l’incendie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Refroidir les conteneurs exposés par pulvérisation ou brouillard d’eau. Soyez prudent lors du combat de tout incendie de produits chimiques. Eviter que les eaux usées de lutte contre l’incendie contaminent l’environnement.</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pénétrer dans la zone de feu sans équipement de protection, y compris une protection respiratoire.</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6: Mesures à prendre en cas de dispersion accidentelle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6.1. Précautions individuelles, équipement de protection et procédures d’urgence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Eloigner le personnel superflu.</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Equipement de protection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Fournir une protection adéquate aux équipes de nettoyage.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Aérer la zone.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6.2. Précautions pour la protection de l’environnement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la pénétration dans les égouts et les eaux potables. Avertir les autorités si le liquide pénètre dans les égouts ou dans les eaux du domaine public. Éviter le rejet dans l'environnement.</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6.3. Méthodes et matériel de confinement et de nettoyage</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Procédés de nettoyage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Sur le sol, balayer ou pelleter dans des conteneurs de rejet adéquats. Réduire à un minimum la production de poussières. Stocker à l’écart des autres matières.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6.4. Référence à d’autres rubriques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Voir rubrique 8. Contrôle de l’exposition/protection individuelle.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7: Manipulation et stockage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7.1. Précautions à prendre pour une manipulation sans danger</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Précautions à prendre pour une manipulation sans danger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Mesures d’hygiène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Les vêtements de travail contaminés ne devraient pas sortir du lieu de travail. Laver les vêtements contaminés avant réutilisation.</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7.2. Conditions d’un stockage sûr, y compris les éventuelles incompatibilités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Conserver uniquement dans le récipient d’origine dans un endroit frais et bien ventilé à l’écart des : Garder les conteneurs fermés en dehors de leur utilisation.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Produits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Bases fortes. Acides forts.</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Matières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d’inflammation. Rayons directs du soleil.</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Durée de stockage maximale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 mois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7.3. Utilisation(s) finale(s) particulière(s)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8: Contrôles de l’exposition/protection individuelle</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8.1. Paramètres de contrôle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8.1.1 Valeurs limites nationales d’exposition professionnelle et biologiques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8.1.2. Procédures de suivi recommandées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8.1.3. Contaminants atmosphériques formés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8.1.4. DNEL et PNEC</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8.1.5. Bande de contrôle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8.2. Contrôles de l’exposition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8.2.1. Contrôles techniques appropriés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 Équipements de protection individuelle</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Equipement de protection individuelle: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toute exposition inutile.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Symbole(s) de l’équipement de protection individuelle:</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1" style="width:60.000000pt;height:60.0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8.2.2.1. Protection des yeux et du visage</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oculaire:</w:t>
            </w:r>
          </w:p>
        </w:tc>
      </w:tr>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Lunettes anti-éclaboussures ou lunettes de sécurité</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8.2.2.2. Protection de la peau</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des mains:</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des gants de protection.</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8.2.2.3. Protection respiratoire</w:t>
      </w:r>
    </w:p>
    <w:tbl>
      <w:tblPr/>
      <w:tblGrid>
        <w:gridCol w:w="10489"/>
      </w:tblGrid>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respiratoire:</w:t>
            </w:r>
          </w:p>
        </w:tc>
      </w:tr>
      <w:tr>
        <w:trPr>
          <w:trHeight w:val="1" w:hRule="atLeast"/>
          <w:jc w:val="left"/>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un masque approprié</w:t>
            </w:r>
          </w:p>
        </w:tc>
      </w:tr>
    </w:tbl>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8.2.2.4. Protection contre les risques thermiques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8.2.3. Contrôles d’exposition liés à la protection de l’environnement</w:t>
      </w:r>
    </w:p>
    <w:tbl>
      <w:tblPr/>
      <w:tblGrid>
        <w:gridCol w:w="10488"/>
      </w:tblGrid>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Autres informations:</w:t>
            </w:r>
          </w:p>
        </w:tc>
      </w:tr>
      <w:tr>
        <w:trPr>
          <w:trHeight w:val="1" w:hRule="atLeast"/>
          <w:jc w:val="left"/>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manger, ne pas boire et ne pas fumer pendant l’utilisation.</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9: Propriétés physiques et chimiques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9.1. Informations sur les propriétés physiques et chimiques essentielles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Solide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ivoire.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Ininflammable.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d’éclair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&gt; 200 °C</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 solution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Taille d’une particule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9.2. Autres informations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9.2.1. Informations concernant les classes de danger physique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9.2.2. Autres caractéristiques de sécurité</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Indice de réfraction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10: Stabilité et réactivité</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10.1. Réactivité</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10.2. Stabilité chimique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10.3. Possibilité de réactions dangereuses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10.4. Conditions à éviter</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Rayons directs du soleil. Températures extrêmement élevées ou extrêmement basses.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10.5. Matières incompatibles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Acides forts. Bases fortes.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10.6. Produits de décomposition dangereux</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fumée. Monoxyde de carbone. Dioxyde de carbone.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11: Informations toxicologiques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11.1. Informations sur les classes de danger telles que définies dans le règlement (CE) n° 1272/2008</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(orale)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ACETATE BENZYLE (140-11-4)</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2490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3730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3100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GERANIOL (106-24-1)</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3600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2790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2000 mg/kg de poids corporel</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Corrosion cutanée/irritation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respiratoire ou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Mutagénicité sur les cellules germinales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Cancérogénicité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 </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pour la reproduction</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11.2. Informations sur les autres dangers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11.2.1. Propriétés perturbant le système endocrinien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11.2.2. Autres informations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Effets néfastes potentiels sur la santé humaine et symptômes possibles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tabs>
                <w:tab w:val="left" w:pos="709" w:leader="none"/>
                <w:tab w:val="left" w:pos="4340" w:leader="none"/>
              </w:tabs>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12: Informations écologiques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12.1. Toxicité</w:t>
      </w:r>
    </w:p>
    <w:tbl>
      <w:tblPr/>
      <w:tblGrid>
        <w:gridCol w:w="3686"/>
        <w:gridCol w:w="284"/>
        <w:gridCol w:w="6520"/>
      </w:tblGrid>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court terme (aiguë)</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12.2. Persistance et dégradabilité</w:t>
      </w: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10% - Monoï des îles</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ACETATE BENZYLE (140-11-4)</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ACETATE LINALYLE (115-95-7)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HYDROXYCITRONELLAL (107-75-5)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METHYLIONONE GAMMA (127-51-5)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12.3. Potentiel de bioaccumulation</w:t>
      </w: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10% - Monoï des îles</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ACETATE BENZYLE (140-11-4)</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ACETATE LINALYLE (115-95-7)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AMYL CINNAMIQUE (122-40-7)</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HEXYL CINNAMIQUE (101-86-0)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HYDROXYCITRONELLAL (107-75-5)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LINALOL (78-70-6)</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METHYLIONONE GAMMA (127-51-5)</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widowControl w:val="false"/>
        <w:suppressAutoHyphens w:val="true"/>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19"/>
      </w:tblGrid>
      <w:tr>
        <w:trPr>
          <w:trHeight w:val="1" w:hRule="atLeast"/>
          <w:jc w:val="left"/>
        </w:trPr>
        <w:tc>
          <w:tcPr>
            <w:tcW w:w="10488"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SALICYLATE AMYLE (2050-08-0)</w:t>
            </w:r>
          </w:p>
        </w:tc>
      </w:tr>
      <w:tr>
        <w:trPr>
          <w:trHeight w:val="1" w:hRule="atLeast"/>
          <w:jc w:val="left"/>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1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12.4. Mobilité dans le sol</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12.5. Résultats des évaluations PBT et vPvB</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12.6. Propriétés perturbant le système endocrinien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12.7. Autres effets néfastes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13: Considérations relatives à l’élimination</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13.1. Méthodes de traitement des déchets</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Recommandations pour le traitement du produit/emballage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déchets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14: Informations relatives au transport</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14.1. Numéro ONU ou numéro d’identification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réglementé pour le transport</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14.2. Désignation officielle de transport de l’ONU</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14.3. Classe(s) de danger pour le transport</w:t>
      </w: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ADR</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IMDG</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IATA</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ADN</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5"/>
        <w:gridCol w:w="284"/>
        <w:gridCol w:w="6522"/>
      </w:tblGrid>
      <w:tr>
        <w:trPr>
          <w:trHeight w:val="1" w:hRule="atLeast"/>
          <w:jc w:val="left"/>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RID</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14.4. Groupe d’emballage</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14.5. Dangers pour l’environnement</w:t>
      </w:r>
    </w:p>
    <w:tbl>
      <w:tblPr/>
      <w:tblGrid>
        <w:gridCol w:w="3685"/>
        <w:gridCol w:w="284"/>
        <w:gridCol w:w="6522"/>
      </w:tblGrid>
      <w:tr>
        <w:trPr>
          <w:trHeight w:val="1" w:hRule="atLeast"/>
          <w:jc w:val="left"/>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2"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d’informations supplémentaires disponibles</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14.6. Précautions particulières à prendre par l’utilisateur</w:t>
      </w: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terrestre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maritime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aérien</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fluviale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ferroviaire</w:t>
            </w:r>
          </w:p>
        </w:tc>
      </w:tr>
      <w:tr>
        <w:trPr>
          <w:trHeight w:val="1" w:hRule="atLeast"/>
          <w:jc w:val="left"/>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14.7. Transport maritime en vrac conformément aux instruments de l’OMI</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15: Informations relatives à la réglementation</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15.1. Réglementations/législation particulières à la substance ou au mélange en matière de sécurité, de santé et d’environnement</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15.1.1. Réglementations UE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XVII de REACH (Liste de restriction)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XVII de REACH (Conditions de restriction)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XIV de REACH (Liste d’autorisation)</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XIV de REACH (Liste d’autorisation)</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Liste candidate REACH (SVHC)</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FFFF00" w:val="clear"/>
        </w:rPr>
      </w:pPr>
      <w:r>
        <w:rPr>
          <w:rFonts w:ascii="Arial" w:hAnsi="Arial" w:cs="Arial" w:eastAsia="Arial"/>
          <w:color w:val="auto"/>
          <w:spacing w:val="0"/>
          <w:position w:val="0"/>
          <w:sz w:val="16"/>
          <w:shd w:fill="auto" w:val="clear"/>
        </w:rPr>
        <w:t xml:space="preserve">Ne contient pas de substance(s) listée(s) dans la liste des substances candidates de REACH</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PIC (UE 649/2012, consentement préalable en connaissance de cause)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PIC (Règlement UE 649/2012 concernant les exportations et importations de produits chimiques dangereux)</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POP (UE 2019/1021, polluants organiques persistants)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POP (règlement UE 2019/1021 sur les polluants organiques persistants)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l’appauvrissement de la couche d’ozone (UE 1005/2009)</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aucune substance listée dans la liste des substances appauvrissant la couche d’ozone (Règlement (CE) n° 1005/2009 relatif à des substances appauvrissant la couche d’ozone)</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d’explosifs (UE 2019/1148)</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d’explosifs (Règlement UE 2019/1148 relatif à la commercialisation et à l’utilisation des précurseurs d’explosifs)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 drogues (CE 273/2004)</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keepNext w:val="true"/>
        <w:keepLines w:val="true"/>
        <w:widowControl w:val="false"/>
        <w:suppressAutoHyphen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15.1.2. Directives nationales</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widowControl w:val="false"/>
        <w:suppressAutoHyphen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15.2. Évaluation de la sécurité chimique</w:t>
      </w:r>
    </w:p>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keepNext w:val="true"/>
        <w:keepLines w:val="true"/>
        <w:widowControl w:val="false"/>
        <w:suppressAutoHyphens w:val="true"/>
        <w:spacing w:before="360" w:after="120" w:line="240"/>
        <w:ind w:right="0" w:left="312" w:hanging="284"/>
        <w:jc w:val="left"/>
        <w:rPr>
          <w:rFonts w:ascii="Arial" w:hAnsi="Arial" w:cs="Arial" w:eastAsia="Arial"/>
          <w:b/>
          <w:color w:val="FFFFFF"/>
          <w:spacing w:val="0"/>
          <w:position w:val="0"/>
          <w:sz w:val="20"/>
          <w:shd w:fill="2E74B5" w:val="clear"/>
        </w:rPr>
      </w:pPr>
      <w:r>
        <w:rPr>
          <w:rFonts w:ascii="Arial" w:hAnsi="Arial" w:cs="Arial" w:eastAsia="Arial"/>
          <w:b/>
          <w:color w:val="FFFFFF"/>
          <w:spacing w:val="0"/>
          <w:position w:val="0"/>
          <w:sz w:val="20"/>
          <w:shd w:fill="2E74B5" w:val="clear"/>
        </w:rPr>
        <w:t xml:space="preserve">RUBRIQUE 16: Autres informations</w:t>
      </w:r>
    </w:p>
    <w:tbl>
      <w:tblPr/>
      <w:tblGrid>
        <w:gridCol w:w="3684"/>
        <w:gridCol w:w="285"/>
        <w:gridCol w:w="6520"/>
      </w:tblGrid>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des données</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rHeight w:val="1" w:hRule="atLeast"/>
          <w:jc w:val="left"/>
        </w:trPr>
        <w:tc>
          <w:tcPr>
            <w:tcW w:w="36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Aucun(e).</w:t>
            </w:r>
          </w:p>
        </w:tc>
      </w:tr>
    </w:tbl>
    <w:p>
      <w:pPr>
        <w:keepLines w:val="true"/>
        <w:widowControl w:val="false"/>
        <w:suppressAutoHyphen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983"/>
        <w:gridCol w:w="8506"/>
      </w:tblGrid>
      <w:tr>
        <w:trPr>
          <w:trHeight w:val="1" w:hRule="atLeast"/>
          <w:jc w:val="left"/>
        </w:trPr>
        <w:tc>
          <w:tcPr>
            <w:tcW w:w="10489" w:type="dxa"/>
            <w:gridSpan w:val="2"/>
            <w:tcBorders>
              <w:top w:val="single" w:color="0070c0" w:sz="4"/>
              <w:left w:val="single" w:color="0070c0" w:sz="4"/>
              <w:bottom w:val="single" w:color="0070c0" w:sz="4"/>
              <w:right w:val="single" w:color="0070c0" w:sz="4"/>
            </w:tcBorders>
            <w:shd w:color="auto" w:fill="bdd6ee" w:val="clear"/>
            <w:tcMar>
              <w:left w:w="56" w:type="dxa"/>
              <w:right w:w="56" w:type="dxa"/>
            </w:tcMar>
            <w:vAlign w:val="top"/>
          </w:tcPr>
          <w:p>
            <w:pPr>
              <w:keepNext w:val="true"/>
              <w:keepLines w:val="true"/>
              <w:widowControl w:val="false"/>
              <w:suppressAutoHyphen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Texte intégral des phrases H et EUH:</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 (par voie orale)</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(par voie orale), catégorie 4</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aigu, cat</w:t>
            </w:r>
            <w:r>
              <w:rPr>
                <w:rFonts w:ascii="Arial" w:hAnsi="Arial" w:cs="Arial" w:eastAsia="Arial"/>
                <w:color w:val="auto"/>
                <w:spacing w:val="0"/>
                <w:position w:val="0"/>
                <w:sz w:val="16"/>
                <w:shd w:fill="auto" w:val="clear"/>
              </w:rPr>
              <w:t xml:space="preserve">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Dam.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 catégorie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 catégorie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en cas d’ingestion.</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H318</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de graves lésions des yeux.</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sévère irritation des yeux.</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Corrosif/irritant pour la peau, catégorie 2</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w:t>
            </w:r>
          </w:p>
        </w:tc>
      </w:tr>
      <w:tr>
        <w:trPr>
          <w:trHeight w:val="1" w:hRule="atLeast"/>
          <w:jc w:val="left"/>
        </w:trPr>
        <w:tc>
          <w:tcPr>
            <w:tcW w:w="1983"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widowControl w:val="false"/>
              <w:suppressAutoHyphen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1B</w:t>
            </w:r>
          </w:p>
        </w:tc>
      </w:tr>
    </w:tbl>
    <w:p>
      <w:pPr>
        <w:keepLines w:val="true"/>
        <w:widowControl w:val="false"/>
        <w:suppressAutoHyphen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keepLines w:val="true"/>
        <w:widowControl w:val="false"/>
        <w:suppressAutoHyphen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embeddings/oleObject1.bin" Id="docRId3" Type="http://schemas.openxmlformats.org/officeDocument/2006/relationships/oleObject" /><Relationship Target="numbering.xml" Id="docRId5" Type="http://schemas.openxmlformats.org/officeDocument/2006/relationships/numbering" /><Relationship TargetMode="External" Target="mailto:(votre%20email)"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styles.xml" Id="docRId6" Type="http://schemas.openxmlformats.org/officeDocument/2006/relationships/styles" /></Relationships>
</file>