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D49C14"/>
          <w:spacing w:val="0"/>
          <w:position w:val="0"/>
          <w:sz w:val="20"/>
          <w:shd w:fill="073D48" w:val="clear"/>
        </w:rPr>
      </w:pPr>
      <w:r>
        <w:rPr>
          <w:rFonts w:ascii="Arial" w:hAnsi="Arial" w:cs="Arial" w:eastAsia="Arial"/>
          <w:color w:val="D49C14"/>
          <w:spacing w:val="0"/>
          <w:position w:val="0"/>
          <w:sz w:val="36"/>
          <w:shd w:fill="073D48" w:val="clear"/>
        </w:rPr>
        <w:t xml:space="preserve">Fiche de données de sécurité</w:t>
      </w:r>
    </w:p>
    <w:p>
      <w:pPr>
        <w:tabs>
          <w:tab w:val="center" w:pos="1779" w:leader="none"/>
          <w:tab w:val="right" w:pos="9538"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13/06/2023</w:t>
        <w:tab/>
        <w:t xml:space="preserve">Révision : 001NEW-1-CLP du 13/06/2023</w:t>
      </w:r>
    </w:p>
    <w:p>
      <w:pPr>
        <w:keepNext w:val="true"/>
        <w:keepLines w:val="true"/>
        <w:spacing w:before="0" w:after="136" w:line="259"/>
        <w:ind w:right="5" w:left="0" w:firstLine="0"/>
        <w:jc w:val="center"/>
        <w:rPr>
          <w:rFonts w:ascii="Arial" w:hAnsi="Arial" w:cs="Arial" w:eastAsia="Arial"/>
          <w:b/>
          <w:color w:val="000000"/>
          <w:spacing w:val="0"/>
          <w:position w:val="0"/>
          <w:sz w:val="32"/>
          <w:shd w:fill="D49C14" w:val="clear"/>
        </w:rPr>
      </w:pPr>
      <w:r>
        <w:rPr>
          <w:rFonts w:ascii="Arial" w:hAnsi="Arial" w:cs="Arial" w:eastAsia="Arial"/>
          <w:b/>
          <w:color w:val="000000"/>
          <w:spacing w:val="0"/>
          <w:position w:val="0"/>
          <w:sz w:val="32"/>
          <w:shd w:fill="D49C14" w:val="clear"/>
        </w:rPr>
        <w:t xml:space="preserve">Cuberdon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92" w:line="368"/>
        <w:ind w:right="7703" w:left="-5" w:hanging="10"/>
        <w:jc w:val="left"/>
        <w:rPr>
          <w:rFonts w:ascii="Microsoft Sans Serif" w:hAnsi="Microsoft Sans Serif" w:cs="Microsoft Sans Serif" w:eastAsia="Microsoft Sans Serif"/>
          <w:color w:val="000000"/>
          <w:spacing w:val="0"/>
          <w:position w:val="0"/>
          <w:sz w:val="17"/>
          <w:shd w:fill="auto" w:val="clear"/>
        </w:rPr>
      </w:pPr>
      <w:r>
        <w:rPr>
          <w:rFonts w:ascii="Microsoft Sans Serif" w:hAnsi="Microsoft Sans Serif" w:cs="Microsoft Sans Serif" w:eastAsia="Microsoft Sans Serif"/>
          <w:color w:val="000000"/>
          <w:spacing w:val="0"/>
          <w:position w:val="0"/>
          <w:sz w:val="17"/>
          <w:shd w:fill="auto" w:val="clear"/>
        </w:rPr>
        <w:t xml:space="preserve">Cuberdon 10% </w:t>
      </w:r>
    </w:p>
    <w:p>
      <w:pPr>
        <w:spacing w:before="0" w:after="115" w:line="250"/>
        <w:ind w:right="7405" w:left="-5" w:hanging="10"/>
        <w:jc w:val="left"/>
        <w:rPr>
          <w:rFonts w:ascii="Arial" w:hAnsi="Arial" w:cs="Arial" w:eastAsia="Arial"/>
          <w:b/>
          <w:color w:val="073D48"/>
          <w:spacing w:val="0"/>
          <w:position w:val="0"/>
          <w:sz w:val="20"/>
          <w:shd w:fill="auto" w:val="clear"/>
        </w:rPr>
      </w:pPr>
      <w:r>
        <w:rPr>
          <w:rFonts w:ascii="Microsoft Sans Serif" w:hAnsi="Microsoft Sans Serif" w:cs="Microsoft Sans Serif" w:eastAsia="Microsoft Sans Serif"/>
          <w:b/>
          <w:color w:val="073D48"/>
          <w:spacing w:val="0"/>
          <w:position w:val="0"/>
          <w:sz w:val="17"/>
          <w:shd w:fill="auto" w:val="clear"/>
        </w:rPr>
        <w:t xml:space="preserve">UFI : NON</w:t>
      </w:r>
    </w:p>
    <w:p>
      <w:pPr>
        <w:spacing w:before="0" w:after="192" w:line="368"/>
        <w:ind w:right="7703" w:left="-5" w:hanging="10"/>
        <w:jc w:val="left"/>
        <w:rPr>
          <w:rFonts w:ascii="Arial" w:hAnsi="Arial" w:cs="Arial" w:eastAsia="Arial"/>
          <w:color w:val="000000"/>
          <w:spacing w:val="0"/>
          <w:position w:val="0"/>
          <w:sz w:val="20"/>
          <w:shd w:fill="auto" w:val="clear"/>
        </w:rPr>
      </w:pPr>
    </w:p>
    <w:p>
      <w:pPr>
        <w:spacing w:before="0" w:after="148"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152" w:line="265"/>
        <w:ind w:right="0" w:left="747" w:hanging="10"/>
        <w:jc w:val="both"/>
        <w:rPr>
          <w:rFonts w:ascii="Arial" w:hAnsi="Arial" w:cs="Arial" w:eastAsia="Arial"/>
          <w:color w:val="000000"/>
          <w:spacing w:val="0"/>
          <w:position w:val="0"/>
          <w:sz w:val="20"/>
          <w:shd w:fill="auto" w:val="clear"/>
        </w:rPr>
      </w:pPr>
    </w:p>
    <w:p>
      <w:pPr>
        <w:spacing w:before="0" w:after="152"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60" w:line="259"/>
        <w:ind w:right="0" w:left="0" w:firstLine="0"/>
        <w:jc w:val="left"/>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2" w:line="265"/>
        <w:ind w:right="0" w:left="747" w:hanging="10"/>
        <w:jc w:val="both"/>
        <w:rPr>
          <w:rFonts w:ascii="Arial" w:hAnsi="Arial" w:cs="Arial" w:eastAsia="Arial"/>
          <w:color w:val="000000"/>
          <w:spacing w:val="0"/>
          <w:position w:val="0"/>
          <w:sz w:val="20"/>
          <w:shd w:fill="auto" w:val="clear"/>
        </w:rPr>
      </w:pPr>
    </w:p>
    <w:p>
      <w:pPr>
        <w:spacing w:before="0" w:after="156" w:line="265"/>
        <w:ind w:right="0" w:left="747" w:hanging="10"/>
        <w:jc w:val="both"/>
        <w:rPr>
          <w:rFonts w:ascii="Arial" w:hAnsi="Arial" w:cs="Arial" w:eastAsia="Arial"/>
          <w:color w:val="000000"/>
          <w:spacing w:val="0"/>
          <w:position w:val="0"/>
          <w:sz w:val="20"/>
          <w:shd w:fill="auto" w:val="clear"/>
        </w:rPr>
      </w:pP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Téléphone en cas d’urgence (à utiliser par le médecin traitant) :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75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tbl>
      <w:tblPr/>
      <w:tblGrid>
        <w:gridCol w:w="6615"/>
        <w:gridCol w:w="3025"/>
      </w:tblGrid>
      <w:tr>
        <w:trPr>
          <w:trHeight w:val="512"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816"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14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6"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32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44"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6"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16"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486"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NON CONCERNE</w:t>
            </w:r>
          </w:p>
          <w:p>
            <w:pPr>
              <w:spacing w:before="0" w:after="0" w:line="259"/>
              <w:ind w:right="0" w:left="793" w:firstLine="0"/>
              <w:jc w:val="left"/>
              <w:rPr>
                <w:spacing w:val="0"/>
                <w:position w:val="0"/>
                <w:shd w:fill="auto" w:val="clear"/>
              </w:rPr>
            </w:pPr>
            <w:r>
              <w:rPr>
                <w:rFonts w:ascii="Arial" w:hAnsi="Arial" w:cs="Arial" w:eastAsia="Arial"/>
                <w:color w:val="000000"/>
                <w:spacing w:val="0"/>
                <w:position w:val="0"/>
                <w:sz w:val="20"/>
                <w:shd w:fill="auto" w:val="clear"/>
              </w:rPr>
              <w:t xml:space="preserve">2.3. Autres dangers</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3: COMPOSITION/INFORMATIONS SUR LES COMPOSANTS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87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1485"/>
        <w:gridCol w:w="2706"/>
        <w:gridCol w:w="2309"/>
        <w:gridCol w:w="2030"/>
        <w:gridCol w:w="1070"/>
      </w:tblGrid>
      <w:tr>
        <w:trPr>
          <w:trHeight w:val="486" w:hRule="auto"/>
          <w:jc w:val="left"/>
        </w:trPr>
        <w:tc>
          <w:tcPr>
            <w:tcW w:w="1485" w:type="dxa"/>
            <w:tcBorders>
              <w:top w:val="single" w:color="000000" w:sz="2"/>
              <w:left w:val="single" w:color="000000" w:sz="2"/>
              <w:bottom w:val="single" w:color="c0c0c0" w:sz="2"/>
              <w:right w:val="single" w:color="000000" w:sz="2"/>
            </w:tcBorders>
            <w:shd w:color="000000" w:fill="ffffff" w:val="clear"/>
            <w:tcMar>
              <w:left w:w="49" w:type="dxa"/>
              <w:right w:w="49" w:type="dxa"/>
            </w:tcMar>
            <w:vAlign w:val="top"/>
          </w:tcPr>
          <w:p>
            <w:pPr>
              <w:spacing w:before="0" w:after="0" w:line="259"/>
              <w:ind w:right="0" w:left="4" w:firstLine="0"/>
              <w:jc w:val="center"/>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6"/>
                <w:shd w:fill="auto" w:val="clear"/>
              </w:rPr>
              <w:t xml:space="preserve">Numéro</w:t>
            </w:r>
          </w:p>
          <w:p>
            <w:pPr>
              <w:spacing w:before="0" w:after="0" w:line="259"/>
              <w:ind w:right="0" w:left="6" w:firstLine="0"/>
              <w:jc w:val="center"/>
              <w:rPr>
                <w:spacing w:val="0"/>
                <w:position w:val="0"/>
                <w:shd w:fill="auto" w:val="clear"/>
              </w:rPr>
            </w:pPr>
            <w:r>
              <w:rPr>
                <w:rFonts w:ascii="Arial" w:hAnsi="Arial" w:cs="Arial" w:eastAsia="Arial"/>
                <w:b/>
                <w:color w:val="000000"/>
                <w:spacing w:val="0"/>
                <w:position w:val="0"/>
                <w:sz w:val="16"/>
                <w:shd w:fill="auto" w:val="clear"/>
              </w:rPr>
              <w:t xml:space="preserve">d'identification</w:t>
            </w:r>
          </w:p>
        </w:tc>
        <w:tc>
          <w:tcPr>
            <w:tcW w:w="2706" w:type="dxa"/>
            <w:tcBorders>
              <w:top w:val="single" w:color="000000" w:sz="2"/>
              <w:left w:val="single" w:color="000000" w:sz="2"/>
              <w:bottom w:val="single" w:color="c0c0c0" w:sz="2"/>
              <w:right w:val="single" w:color="000000" w:sz="2"/>
            </w:tcBorders>
            <w:shd w:color="000000" w:fill="ffffff" w:val="clear"/>
            <w:tcMar>
              <w:left w:w="49" w:type="dxa"/>
              <w:right w:w="49" w:type="dxa"/>
            </w:tcMar>
            <w:vAlign w:val="center"/>
          </w:tcPr>
          <w:p>
            <w:pPr>
              <w:spacing w:before="0" w:after="0" w:line="259"/>
              <w:ind w:right="24"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Substance</w:t>
            </w:r>
          </w:p>
        </w:tc>
        <w:tc>
          <w:tcPr>
            <w:tcW w:w="2309" w:type="dxa"/>
            <w:tcBorders>
              <w:top w:val="single" w:color="000000" w:sz="2"/>
              <w:left w:val="single" w:color="000000" w:sz="2"/>
              <w:bottom w:val="single" w:color="c0c0c0" w:sz="2"/>
              <w:right w:val="single" w:color="000000" w:sz="2"/>
            </w:tcBorders>
            <w:shd w:color="000000" w:fill="ffffff" w:val="clear"/>
            <w:tcMar>
              <w:left w:w="49" w:type="dxa"/>
              <w:right w:w="49" w:type="dxa"/>
            </w:tcMar>
            <w:vAlign w:val="center"/>
          </w:tcPr>
          <w:p>
            <w:pPr>
              <w:spacing w:before="0" w:after="0" w:line="259"/>
              <w:ind w:right="0" w:left="38" w:firstLine="0"/>
              <w:jc w:val="left"/>
              <w:rPr>
                <w:spacing w:val="0"/>
                <w:position w:val="0"/>
                <w:shd w:fill="auto" w:val="clear"/>
              </w:rPr>
            </w:pPr>
            <w:r>
              <w:rPr>
                <w:rFonts w:ascii="Arial" w:hAnsi="Arial" w:cs="Arial" w:eastAsia="Arial"/>
                <w:b/>
                <w:color w:val="000000"/>
                <w:spacing w:val="0"/>
                <w:position w:val="0"/>
                <w:sz w:val="16"/>
                <w:shd w:fill="auto" w:val="clear"/>
              </w:rPr>
              <w:t xml:space="preserve">Classes danger &amp; Phrases H</w:t>
            </w:r>
          </w:p>
        </w:tc>
        <w:tc>
          <w:tcPr>
            <w:tcW w:w="2030" w:type="dxa"/>
            <w:tcBorders>
              <w:top w:val="single" w:color="000000" w:sz="2"/>
              <w:left w:val="single" w:color="000000" w:sz="2"/>
              <w:bottom w:val="single" w:color="c0c0c0" w:sz="2"/>
              <w:right w:val="single" w:color="000000" w:sz="2"/>
            </w:tcBorders>
            <w:shd w:color="000000" w:fill="ffffff" w:val="clear"/>
            <w:tcMar>
              <w:left w:w="49" w:type="dxa"/>
              <w:right w:w="49" w:type="dxa"/>
            </w:tcMar>
            <w:vAlign w:val="center"/>
          </w:tcPr>
          <w:p>
            <w:pPr>
              <w:spacing w:before="0" w:after="0" w:line="259"/>
              <w:ind w:right="23"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LCS / Facteurs M / ATE</w:t>
            </w:r>
          </w:p>
        </w:tc>
        <w:tc>
          <w:tcPr>
            <w:tcW w:w="1070" w:type="dxa"/>
            <w:tcBorders>
              <w:top w:val="single" w:color="000000" w:sz="2"/>
              <w:left w:val="single" w:color="000000" w:sz="2"/>
              <w:bottom w:val="single" w:color="c0c0c0" w:sz="2"/>
              <w:right w:val="single" w:color="000000" w:sz="2"/>
            </w:tcBorders>
            <w:shd w:color="000000" w:fill="ffffff" w:val="clear"/>
            <w:tcMar>
              <w:left w:w="49" w:type="dxa"/>
              <w:right w:w="49" w:type="dxa"/>
            </w:tcMar>
            <w:vAlign w:val="top"/>
          </w:tcPr>
          <w:p>
            <w:pPr>
              <w:spacing w:before="0" w:after="0" w:line="259"/>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Pourcentage %</w:t>
            </w:r>
          </w:p>
        </w:tc>
      </w:tr>
      <w:tr>
        <w:trPr>
          <w:trHeight w:val="745" w:hRule="auto"/>
          <w:jc w:val="left"/>
        </w:trPr>
        <w:tc>
          <w:tcPr>
            <w:tcW w:w="1485" w:type="dxa"/>
            <w:tcBorders>
              <w:top w:val="single" w:color="c0c0c0" w:sz="2"/>
              <w:left w:val="single" w:color="c0c0c0" w:sz="2"/>
              <w:bottom w:val="single" w:color="c0c0c0" w:sz="2"/>
              <w:right w:val="single" w:color="c0c0c0" w:sz="2"/>
            </w:tcBorders>
            <w:shd w:color="000000" w:fill="ffffff" w:val="clear"/>
            <w:tcMar>
              <w:left w:w="49" w:type="dxa"/>
              <w:right w:w="49"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4"/>
                <w:shd w:fill="auto" w:val="clear"/>
              </w:rPr>
              <w:t xml:space="preserve">CAS# 128-37-0</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4"/>
                <w:shd w:fill="auto" w:val="clear"/>
              </w:rPr>
              <w:t xml:space="preserve">EINECS# 204-881-4</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4"/>
                <w:shd w:fill="auto" w:val="clear"/>
              </w:rPr>
              <w:t xml:space="preserve">REACH#</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4"/>
                <w:shd w:fill="auto" w:val="clear"/>
              </w:rPr>
              <w:t xml:space="preserve">01-2119565113-46</w:t>
            </w:r>
          </w:p>
        </w:tc>
        <w:tc>
          <w:tcPr>
            <w:tcW w:w="2706" w:type="dxa"/>
            <w:tcBorders>
              <w:top w:val="single" w:color="c0c0c0" w:sz="2"/>
              <w:left w:val="single" w:color="c0c0c0" w:sz="2"/>
              <w:bottom w:val="single" w:color="c0c0c0" w:sz="2"/>
              <w:right w:val="single" w:color="c0c0c0" w:sz="2"/>
            </w:tcBorders>
            <w:shd w:color="000000" w:fill="ffffff" w:val="clear"/>
            <w:tcMar>
              <w:left w:w="49" w:type="dxa"/>
              <w:right w:w="49"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4"/>
                <w:shd w:fill="auto" w:val="clear"/>
              </w:rPr>
              <w:t xml:space="preserve">2,6-ditert-butyl-4-methylphenol (BHTbutylated hydroxytoluene)</w:t>
            </w:r>
          </w:p>
        </w:tc>
        <w:tc>
          <w:tcPr>
            <w:tcW w:w="2309" w:type="dxa"/>
            <w:tcBorders>
              <w:top w:val="single" w:color="c0c0c0" w:sz="2"/>
              <w:left w:val="single" w:color="c0c0c0" w:sz="2"/>
              <w:bottom w:val="single" w:color="c0c0c0" w:sz="2"/>
              <w:right w:val="single" w:color="c0c0c0" w:sz="2"/>
            </w:tcBorders>
            <w:shd w:color="000000" w:fill="ffffff" w:val="clear"/>
            <w:tcMar>
              <w:left w:w="49" w:type="dxa"/>
              <w:right w:w="49"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4"/>
                <w:shd w:fill="auto" w:val="clear"/>
              </w:rPr>
              <w:t xml:space="preserve">Aquatic Acute 1, Aquatic Chronic 1 H400, H410</w:t>
            </w:r>
          </w:p>
        </w:tc>
        <w:tc>
          <w:tcPr>
            <w:tcW w:w="2030" w:type="dxa"/>
            <w:tcBorders>
              <w:top w:val="single" w:color="c0c0c0" w:sz="2"/>
              <w:left w:val="single" w:color="c0c0c0" w:sz="2"/>
              <w:bottom w:val="single" w:color="c0c0c0" w:sz="2"/>
              <w:right w:val="single" w:color="c0c0c0" w:sz="2"/>
            </w:tcBorders>
            <w:shd w:color="000000" w:fill="ffffff" w:val="clear"/>
            <w:tcMar>
              <w:left w:w="49" w:type="dxa"/>
              <w:right w:w="49"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4"/>
                <w:shd w:fill="auto" w:val="clear"/>
              </w:rPr>
              <w:t xml:space="preserve">EHA1 (M=1)EHC1 (M=1)</w:t>
            </w:r>
          </w:p>
        </w:tc>
        <w:tc>
          <w:tcPr>
            <w:tcW w:w="1070" w:type="dxa"/>
            <w:tcBorders>
              <w:top w:val="single" w:color="c0c0c0" w:sz="2"/>
              <w:left w:val="single" w:color="c0c0c0" w:sz="2"/>
              <w:bottom w:val="single" w:color="c0c0c0" w:sz="2"/>
              <w:right w:val="single" w:color="c0c0c0" w:sz="2"/>
            </w:tcBorders>
            <w:shd w:color="000000" w:fill="ffffff" w:val="clear"/>
            <w:tcMar>
              <w:left w:w="49" w:type="dxa"/>
              <w:right w:w="49" w:type="dxa"/>
            </w:tcMar>
            <w:vAlign w:val="top"/>
          </w:tcPr>
          <w:p>
            <w:pPr>
              <w:spacing w:before="0" w:after="0" w:line="259"/>
              <w:ind w:right="0" w:left="0" w:firstLine="0"/>
              <w:jc w:val="right"/>
              <w:rPr>
                <w:spacing w:val="0"/>
                <w:position w:val="0"/>
                <w:shd w:fill="auto" w:val="clear"/>
              </w:rPr>
            </w:pPr>
            <w:r>
              <w:rPr>
                <w:rFonts w:ascii="Arial" w:hAnsi="Arial" w:cs="Arial" w:eastAsia="Arial"/>
                <w:color w:val="000000"/>
                <w:spacing w:val="0"/>
                <w:position w:val="0"/>
                <w:sz w:val="14"/>
                <w:shd w:fill="auto" w:val="clear"/>
              </w:rPr>
              <w:t xml:space="preserve">[ 0-5 ]</w:t>
            </w:r>
          </w:p>
        </w:tc>
      </w:tr>
    </w:tbl>
    <w:p>
      <w:pPr>
        <w:spacing w:before="0" w:after="957"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1132"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78"/>
        </w:numPr>
        <w:spacing w:before="0" w:after="3" w:line="265"/>
        <w:ind w:right="0"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78"/>
        </w:numPr>
        <w:spacing w:before="0" w:after="3" w:line="265"/>
        <w:ind w:right="0"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3" w:line="265"/>
        <w:ind w:right="0" w:left="747" w:hanging="10"/>
        <w:jc w:val="both"/>
        <w:rPr>
          <w:rFonts w:ascii="Arial" w:hAnsi="Arial" w:cs="Arial" w:eastAsia="Arial"/>
          <w:color w:val="000000"/>
          <w:spacing w:val="0"/>
          <w:position w:val="0"/>
          <w:sz w:val="20"/>
          <w:shd w:fill="auto" w:val="clear"/>
        </w:rPr>
      </w:pP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0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158"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p>
      <w:pPr>
        <w:tabs>
          <w:tab w:val="center" w:pos="3427" w:leader="none"/>
        </w:tabs>
        <w:spacing w:before="0" w:after="107" w:line="252"/>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tab/>
      </w:r>
      <w:r>
        <w:rPr>
          <w:rFonts w:ascii="Tahoma" w:hAnsi="Tahoma" w:cs="Tahoma" w:eastAsia="Tahoma"/>
          <w:b/>
          <w:color w:val="000000"/>
          <w:spacing w:val="0"/>
          <w:position w:val="0"/>
          <w:sz w:val="18"/>
          <w:shd w:fill="auto" w:val="clear"/>
        </w:rPr>
        <w:t xml:space="preserve">Liquide</w:t>
      </w:r>
    </w:p>
    <w:p>
      <w:pPr>
        <w:spacing w:before="0" w:after="107" w:line="252"/>
        <w:ind w:right="4785"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Couleur :</w:t>
      </w:r>
    </w:p>
    <w:p>
      <w:pPr>
        <w:tabs>
          <w:tab w:val="center" w:pos="3789" w:leader="none"/>
        </w:tabs>
        <w:spacing w:before="0" w:after="104" w:line="259"/>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Odeur :</w:t>
        <w:tab/>
      </w:r>
      <w:r>
        <w:rPr>
          <w:rFonts w:ascii="Tahoma" w:hAnsi="Tahoma" w:cs="Tahoma" w:eastAsia="Tahoma"/>
          <w:b/>
          <w:color w:val="000000"/>
          <w:spacing w:val="0"/>
          <w:position w:val="0"/>
          <w:sz w:val="18"/>
          <w:shd w:fill="auto" w:val="clear"/>
        </w:rPr>
        <w:t xml:space="preserve">Caractéristique</w:t>
      </w:r>
    </w:p>
    <w:p>
      <w:pPr>
        <w:spacing w:before="0" w:after="107" w:line="252"/>
        <w:ind w:right="4785"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de fusion/point de congélation </w:t>
        <w:tab/>
      </w:r>
      <w:r>
        <w:rPr>
          <w:rFonts w:ascii="Tahoma" w:hAnsi="Tahoma" w:cs="Tahoma" w:eastAsia="Tahoma"/>
          <w:b/>
          <w:color w:val="000000"/>
          <w:spacing w:val="0"/>
          <w:position w:val="0"/>
          <w:sz w:val="18"/>
          <w:shd w:fill="auto" w:val="clear"/>
        </w:rPr>
        <w:t xml:space="preserve">non déterminé </w:t>
      </w:r>
      <w:r>
        <w:rPr>
          <w:rFonts w:ascii="Tahoma" w:hAnsi="Tahoma" w:cs="Tahoma" w:eastAsia="Tahoma"/>
          <w:color w:val="000000"/>
          <w:spacing w:val="0"/>
          <w:position w:val="0"/>
          <w:sz w:val="18"/>
          <w:shd w:fill="auto" w:val="clear"/>
        </w:rPr>
        <w:t xml:space="preserve">(@1 atm.) :</w:t>
      </w:r>
    </w:p>
    <w:p>
      <w:pPr>
        <w:tabs>
          <w:tab w:val="center" w:pos="3759" w:leader="none"/>
        </w:tabs>
        <w:spacing w:before="0" w:after="107" w:line="252"/>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tab/>
      </w:r>
      <w:r>
        <w:rPr>
          <w:rFonts w:ascii="Tahoma" w:hAnsi="Tahoma" w:cs="Tahoma" w:eastAsia="Tahoma"/>
          <w:b/>
          <w:color w:val="000000"/>
          <w:spacing w:val="0"/>
          <w:position w:val="0"/>
          <w:sz w:val="18"/>
          <w:shd w:fill="auto" w:val="clear"/>
        </w:rPr>
        <w:t xml:space="preserve">non déterminé</w:t>
      </w:r>
    </w:p>
    <w:p>
      <w:pPr>
        <w:spacing w:before="0" w:after="107" w:line="252"/>
        <w:ind w:right="4785"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Inflammabilité :</w:t>
      </w:r>
    </w:p>
    <w:p>
      <w:pPr>
        <w:tabs>
          <w:tab w:val="center" w:pos="3860" w:leader="none"/>
        </w:tabs>
        <w:spacing w:before="0" w:after="107" w:line="252"/>
        <w:ind w:right="0" w:left="-15"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Limites inférieure et supérieure </w:t>
        <w:tab/>
      </w:r>
      <w:r>
        <w:rPr>
          <w:rFonts w:ascii="Tahoma" w:hAnsi="Tahoma" w:cs="Tahoma" w:eastAsia="Tahoma"/>
          <w:b/>
          <w:color w:val="000000"/>
          <w:spacing w:val="0"/>
          <w:position w:val="0"/>
          <w:sz w:val="18"/>
          <w:shd w:fill="auto" w:val="clear"/>
        </w:rPr>
        <w:t xml:space="preserve">non déterminées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12" w:hRule="auto"/>
          <w:jc w:val="left"/>
        </w:trPr>
        <w:tc>
          <w:tcPr>
            <w:tcW w:w="9640" w:type="dxa"/>
            <w:gridSpan w:val="3"/>
            <w:tcBorders>
              <w:top w:val="single" w:color="7f7f7f" w:sz="2"/>
              <w:left w:val="single" w:color="7f7f7f" w:sz="2"/>
              <w:bottom w:val="single" w:color="7f7f7f" w:sz="2"/>
              <w:right w:val="single" w:color="7f7f7f" w:sz="2"/>
            </w:tcBorders>
            <w:shd w:color="auto" w:fill="073d48"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26" w:type="dxa"/>
              <w:right w:w="26" w:type="dxa"/>
            </w:tcMar>
            <w:vAlign w:val="center"/>
          </w:tcPr>
          <w:p>
            <w:pPr>
              <w:tabs>
                <w:tab w:val="center" w:pos="1834"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13/06/2023</w:t>
            </w:r>
          </w:p>
        </w:tc>
        <w:tc>
          <w:tcPr>
            <w:tcW w:w="3463" w:type="dxa"/>
            <w:tcBorders>
              <w:top w:val="single" w:color="7f7f7f" w:sz="2"/>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16" w:firstLine="0"/>
              <w:jc w:val="left"/>
              <w:rPr>
                <w:spacing w:val="0"/>
                <w:position w:val="0"/>
                <w:shd w:fill="auto" w:val="clear"/>
              </w:rPr>
            </w:pPr>
            <w:r>
              <w:rPr>
                <w:rFonts w:ascii="Arial" w:hAnsi="Arial" w:cs="Arial" w:eastAsia="Arial"/>
                <w:color w:val="000000"/>
                <w:spacing w:val="0"/>
                <w:position w:val="0"/>
                <w:sz w:val="16"/>
                <w:shd w:fill="auto" w:val="clear"/>
              </w:rPr>
              <w:t xml:space="preserve">Cuberdon 10%</w:t>
            </w:r>
          </w:p>
        </w:tc>
        <w:tc>
          <w:tcPr>
            <w:tcW w:w="3025" w:type="dxa"/>
            <w:tcBorders>
              <w:top w:val="single" w:color="7f7f7f" w:sz="2"/>
              <w:left w:val="single" w:color="000000" w:sz="0"/>
              <w:bottom w:val="single" w:color="000000" w:sz="0"/>
              <w:right w:val="single" w:color="000000" w:sz="0"/>
            </w:tcBorders>
            <w:shd w:color="000000" w:fill="ffffff" w:val="clear"/>
            <w:tcMar>
              <w:left w:w="26" w:type="dxa"/>
              <w:right w:w="26"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13/06/2023</w:t>
            </w:r>
          </w:p>
        </w:tc>
      </w:tr>
      <w:tr>
        <w:trPr>
          <w:trHeight w:val="1009"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92"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d’explosion :</w:t>
            </w:r>
          </w:p>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d’éclair (°C)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de décomposition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70"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pH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Viscosité cinématique (mm²/s)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18"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316"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292"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3463"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6615" w:type="dxa"/>
            <w:gridSpan w:val="2"/>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Sources directes de chaleur.</w:t>
      </w:r>
    </w:p>
    <w:p>
      <w:pPr>
        <w:spacing w:before="0" w:after="540"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 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1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 voir section 2</w:t>
      </w:r>
    </w:p>
    <w:p>
      <w:pPr>
        <w:numPr>
          <w:ilvl w:val="0"/>
          <w:numId w:val="210"/>
        </w:numPr>
        <w:spacing w:before="0" w:after="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 voir section 2</w:t>
      </w:r>
    </w:p>
    <w:p>
      <w:pPr>
        <w:spacing w:before="0" w:after="33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13"/>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13"/>
        </w:numPr>
        <w:spacing w:before="0" w:after="730"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69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5" w:line="425"/>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33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w:t>
      </w:r>
    </w:p>
    <w:p>
      <w:pPr>
        <w:spacing w:before="0" w:after="69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3"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9"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116" w:line="265"/>
        <w:ind w:right="729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 IATA :NON REGLEMENTE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1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 :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1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NON CONCERNE</w:t>
      </w:r>
    </w:p>
    <w:p>
      <w:pPr>
        <w:spacing w:before="0" w:after="13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7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0"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8"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Règlements de l'UE:</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(UE) 2020/878 DE LA COMMISSION du 18 juin 2020 modifiant l’annexe II du règlement (CE) no 1907/2006 du Parlement européen et du Conseil concernant l’enregistrement, l’évaluation et l’autorisation des substances chimiques, ainsi que les restrictions applicables à ces substances (REACH).</w:t>
      </w:r>
    </w:p>
    <w:p>
      <w:pPr>
        <w:spacing w:before="0" w:after="8"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Autre législation de l'UE: </w:t>
      </w:r>
    </w:p>
    <w:p>
      <w:pPr>
        <w:spacing w:before="0" w:after="712"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DIRECTIVE 2008/98/CE DU PARLEMENT EUROPÉEN ET DU CONSEIL du 19 novembre 2008 relative aux déchets et abrogeant certaines directives.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3"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5226" w:leader="none"/>
        </w:tabs>
        <w:spacing w:before="0" w:after="10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8">
    <w:abstractNumId w:val="12"/>
  </w:num>
  <w:num w:numId="210">
    <w:abstractNumId w:val="6"/>
  </w:num>
  <w:num w:numId="2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