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Société :      </w:t>
      </w:r>
      <w:r>
        <w:rPr>
          <w:rFonts w:ascii="Helvetica" w:hAnsi="Helvetica" w:cs="Helvetica" w:eastAsia="Helvetica"/>
          <w:i/>
          <w:color w:val="000000"/>
          <w:spacing w:val="0"/>
          <w:position w:val="0"/>
          <w:sz w:val="19"/>
          <w:shd w:fill="auto" w:val="clear"/>
        </w:rPr>
        <w:t xml:space="preserve">(Nom de votre société) </w:t>
      </w:r>
    </w:p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3" w:after="0" w:line="38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32"/>
          <w:shd w:fill="auto" w:val="clear"/>
        </w:rPr>
        <w:t xml:space="preserve">Adoucissant - 7%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4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4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IDENTIFICATION DE LA SUBSTANCE ET DE LA SOCIETE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7" w:after="140" w:line="28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1.1. Identification de produit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Adoucissant - 7%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UFI :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02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1.2. Utilisations identifiées pertinentes de la substance ou du mélange et utilisations déconseillées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Usage    : Utilisation par les consommateurs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1.3. Renseignements concernant le fournisseur de la 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i/>
          <w:color w:val="000000"/>
          <w:spacing w:val="0"/>
          <w:position w:val="0"/>
          <w:sz w:val="19"/>
          <w:shd w:fill="auto" w:val="clear"/>
        </w:rPr>
        <w:t xml:space="preserve">(Adresse de votre société)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i/>
          <w:color w:val="000000"/>
          <w:spacing w:val="0"/>
          <w:position w:val="0"/>
          <w:sz w:val="19"/>
          <w:shd w:fill="auto" w:val="clear"/>
        </w:rPr>
        <w:t xml:space="preserve">(Adresse mail) </w:t>
      </w:r>
    </w:p>
    <w:p>
      <w:pPr>
        <w:spacing w:before="0" w:after="0" w:line="273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i/>
          <w:color w:val="000000"/>
          <w:spacing w:val="0"/>
          <w:position w:val="0"/>
          <w:sz w:val="19"/>
          <w:shd w:fill="auto" w:val="clear"/>
        </w:rPr>
        <w:t xml:space="preserve">(Num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é</w:t>
      </w:r>
      <w:r>
        <w:rPr>
          <w:rFonts w:ascii="Helvetica" w:hAnsi="Helvetica" w:cs="Helvetica" w:eastAsia="Helvetica"/>
          <w:i/>
          <w:color w:val="000000"/>
          <w:spacing w:val="0"/>
          <w:position w:val="0"/>
          <w:sz w:val="19"/>
          <w:shd w:fill="auto" w:val="clear"/>
        </w:rPr>
        <w:t xml:space="preserve">ro de téléphone)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99" w:after="0" w:line="32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1.4 Numéro d'appel d'urgence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ORFILA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: 00 33 1 45 42 59 59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2. 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IDENTIFICATION DES DANGERS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5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2.1. Classification de la substance ou du mélange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Classification selon le règlement 1272/2008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(Législation CLP)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2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EUH208 - Contient 1-(1,2,3,5,6,7,8,8a-Octahydro-2,3,8,8-tetramethyl-2-naphthyl)ethan-1-one, alpha-Hexylcinnamaldehyde.  Peut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produire une réaction allergique.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91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2.2. Elements d'étiquetage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Classification selon le règlement 1272/2008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(Législation CLP)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9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P102 - Tenir hors de portée des enfants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1/8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184" w:type="dxa"/>
      </w:tblPr>
      <w:tblGrid>
        <w:gridCol w:w="1498"/>
        <w:gridCol w:w="2749"/>
        <w:gridCol w:w="2380"/>
        <w:gridCol w:w="2073"/>
        <w:gridCol w:w="903"/>
      </w:tblGrid>
      <w:tr>
        <w:trPr>
          <w:trHeight w:val="482" w:hRule="auto"/>
          <w:jc w:val="left"/>
        </w:trPr>
        <w:tc>
          <w:tcPr>
            <w:tcW w:w="1498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275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d'identification </w:t>
            </w:r>
          </w:p>
        </w:tc>
        <w:tc>
          <w:tcPr>
            <w:tcW w:w="2749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182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Substance </w:t>
            </w:r>
          </w:p>
        </w:tc>
        <w:tc>
          <w:tcPr>
            <w:tcW w:w="2380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182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Classes danger &amp; Phrases H </w:t>
            </w:r>
          </w:p>
        </w:tc>
        <w:tc>
          <w:tcPr>
            <w:tcW w:w="2073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tabs>
                <w:tab w:val="left" w:pos="471" w:leader="none"/>
              </w:tabs>
              <w:spacing w:before="88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LCS / Facteurs M / ATE /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br/>
              <w:tab/>
            </w: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VLEP-VMEP </w:t>
            </w:r>
          </w:p>
        </w:tc>
        <w:tc>
          <w:tcPr>
            <w:tcW w:w="903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88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Pourcent </w:t>
            </w:r>
          </w:p>
        </w:tc>
      </w:tr>
      <w:tr>
        <w:trPr>
          <w:trHeight w:val="746" w:hRule="auto"/>
          <w:jc w:val="left"/>
        </w:trPr>
        <w:tc>
          <w:tcPr>
            <w:tcW w:w="1498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CAS# 1222-05-5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EINECS# 214-946-9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REACH#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01-2119488227-29 </w:t>
            </w:r>
          </w:p>
        </w:tc>
        <w:tc>
          <w:tcPr>
            <w:tcW w:w="2749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1,3,4,6,7,8-Hexahydro-4,6,6,7,8,8-hexamet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hylcyclopenta-gamma-2-benzopyran </w:t>
            </w:r>
          </w:p>
        </w:tc>
        <w:tc>
          <w:tcPr>
            <w:tcW w:w="238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Aquatic Acute 1, Aquatic Chronic 1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H400, H410 </w:t>
            </w:r>
          </w:p>
        </w:tc>
        <w:tc>
          <w:tcPr>
            <w:tcW w:w="207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0" w:after="0" w:line="492"/>
              <w:ind w:right="-56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[ 0-5 ] </w:t>
            </w:r>
          </w:p>
        </w:tc>
      </w:tr>
      <w:tr>
        <w:trPr>
          <w:trHeight w:val="746" w:hRule="auto"/>
          <w:jc w:val="left"/>
        </w:trPr>
        <w:tc>
          <w:tcPr>
            <w:tcW w:w="1498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5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CAS# 68155-66-8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EINECS# 268-978-3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REACH#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01-2119489989-04 </w:t>
            </w:r>
          </w:p>
        </w:tc>
        <w:tc>
          <w:tcPr>
            <w:tcW w:w="2749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5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1-(1,2,3,5,6,7,8,8a-Octahydro-2,3,8,8-tetra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methyl-2-naphthyl)ethan-1-one </w:t>
            </w:r>
          </w:p>
        </w:tc>
        <w:tc>
          <w:tcPr>
            <w:tcW w:w="238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5" w:after="0" w:line="240"/>
              <w:ind w:right="-567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Aquatic Chronic 2, Skin Irrit. 2, Skin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Sens. 1B </w:t>
            </w:r>
          </w:p>
          <w:p>
            <w:pPr>
              <w:spacing w:before="0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H411, H315, H317 </w:t>
            </w:r>
          </w:p>
        </w:tc>
        <w:tc>
          <w:tcPr>
            <w:tcW w:w="207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0" w:after="0" w:line="492"/>
              <w:ind w:right="-56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5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[ 0-5 ] </w:t>
            </w:r>
          </w:p>
        </w:tc>
      </w:tr>
      <w:tr>
        <w:trPr>
          <w:trHeight w:val="588" w:hRule="auto"/>
          <w:jc w:val="left"/>
        </w:trPr>
        <w:tc>
          <w:tcPr>
            <w:tcW w:w="1498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CAS# 101-86-0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EINECS# 202-983-3 </w:t>
            </w:r>
          </w:p>
        </w:tc>
        <w:tc>
          <w:tcPr>
            <w:tcW w:w="2749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alpha-Hexylcinnamaldehyde </w:t>
            </w:r>
          </w:p>
        </w:tc>
        <w:tc>
          <w:tcPr>
            <w:tcW w:w="238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Aquatic Acute 1, Aquatic Chronic 2,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Skin Sens. 1B </w:t>
            </w:r>
          </w:p>
          <w:p>
            <w:pPr>
              <w:spacing w:before="0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H400, H411, H317 </w:t>
            </w:r>
          </w:p>
        </w:tc>
        <w:tc>
          <w:tcPr>
            <w:tcW w:w="207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0" w:after="0" w:line="492"/>
              <w:ind w:right="-56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[ 0-5 ] </w:t>
            </w:r>
          </w:p>
        </w:tc>
      </w:tr>
    </w:tbl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Adoucissant - 7%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EUH208 - Contient 1-(1,2,3,5,6,7,8,8a-Octahydro-2,3,8,8-tetramethyl-2-naphthyl)ethan-1-one, alpha-Hexylcinnamaldehyde.  Peut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produire une réaction allergique.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2.3. Autres dangers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3. 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COMPOSITION / INFORMATIONS SUR LES COMPOSANTS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7" w:after="0" w:line="305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3.1. Substances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applicable.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3.2. Mélanges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6"/>
          <w:shd w:fill="auto" w:val="clear"/>
        </w:rPr>
        <w:t xml:space="preserve">Numéro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6"/>
          <w:shd w:fill="auto" w:val="clear"/>
        </w:rPr>
        <w:t xml:space="preserve">age 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Les VLEP et VMEP des différentes substances sont renseignées dans le tableau ci-dessus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94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4. 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94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PREMIERS SECOURS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4.1. Description des premiers secours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Contact avec la peau :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Laver immédiatement avec de l'eau.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Contact avec les yeux :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Rinçage abondant à l'eau (15 minutes les paupières ouvertes).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En cas d'ingestion :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Se rincer la bouche avec de l'eau.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4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4.2. Principaux symptômes et effets, aigus et différés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4.3. Indication des éventuels soins médicaux immédiats et traitements particuliers nécessaires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Si les troubles persistent, consulter un médecin.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5. 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MESURES DE LUTTE CONTRE L'INCENDIE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2/8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9" w:type="dxa"/>
      </w:tblPr>
      <w:tblGrid>
        <w:gridCol w:w="3684"/>
        <w:gridCol w:w="285"/>
        <w:gridCol w:w="6521"/>
      </w:tblGrid>
      <w:tr>
        <w:trPr>
          <w:trHeight w:val="1007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Instructions de lutte contre l'incendie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000000" w:sz="0"/>
              <w:left w:val="single" w:color="ffffff" w:sz="1"/>
              <w:bottom w:val="single" w:color="ffffff" w:sz="1"/>
              <w:right w:val="single" w:color="000000" w:sz="0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492"/>
              <w:ind w:right="-56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79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Protection en cas d'incendie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492"/>
              <w:ind w:right="-56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Adoucissant - 7%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5.1. Moyens d’extinction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Extincteur à CO2, poudre, mousse ou sable.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6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5.2. Dangers particuliers résultant de la substance ou du mélange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Pas d'informations complémentaires disponibles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5.3. Conseils aux pompiers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3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6. 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3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MESURES EN CAS D'ECOULEMENT ACCIDENTEL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6.1. Précautions individuelles, équipement de protection et procédures d’urgence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Fournir une protection adéquate aux équipes de nettoyage.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Respecter les consignes indiquées au paragraphe 2.2.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Aérer la zone.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6.2. Précautions pour la protection de l’environnement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Empêcher toute contamination du sol et de l'eau, tout écoulement dans les égouts, caniveaux, rivières.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Avertir les autorités si le produit pénètre dans les égouts ou dans les eaux du domaine public.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6.3. Méthodes et matériel de confinement et de nettoyage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Sur le sol, balayer ou pelleter dans des conteneurs de rejet adéquats. Réduire à un minimum la production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de poussières. Stocker à l'écart des autres matières.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6.4. Référence à d'autres sections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Non applicable.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7. 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MANUTENTION ET STOCKAGE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7.1. Précautions à prendre pour une manipulation sans danger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3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3/8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9" w:type="dxa"/>
      </w:tblPr>
      <w:tblGrid>
        <w:gridCol w:w="3684"/>
        <w:gridCol w:w="285"/>
        <w:gridCol w:w="6521"/>
      </w:tblGrid>
      <w:tr>
        <w:trPr>
          <w:trHeight w:val="743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Conditions de stockage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spacing w:before="34" w:after="0" w:line="253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Conserver uniquement dans le récipient d'origine dans un endroit frais et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bien ventilé à l'écart des : Garder les conteneurs fermés en dehors de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leur utilisation. </w:t>
            </w:r>
          </w:p>
        </w:tc>
      </w:tr>
      <w:tr>
        <w:trPr>
          <w:trHeight w:val="261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077" w:type="dxa"/>
              <w:right w:w="2077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Produits incompatibles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077" w:type="dxa"/>
              <w:right w:w="2077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077" w:type="dxa"/>
              <w:right w:w="2077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Bases fortes. Acides forts. </w:t>
            </w:r>
          </w:p>
        </w:tc>
      </w:tr>
      <w:tr>
        <w:trPr>
          <w:trHeight w:val="259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Matières incompatibles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492"/>
              <w:ind w:right="-56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3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937" w:type="dxa"/>
              <w:right w:w="2937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Durée de stockage maximale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937" w:type="dxa"/>
              <w:right w:w="2937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937" w:type="dxa"/>
              <w:right w:w="2937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6 mois </w:t>
            </w:r>
          </w:p>
        </w:tc>
      </w:tr>
    </w:tbl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Adoucissant - 7%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Se laver les mains et toute autre zone exposée avec un savon doux et de l'eau, avant de manger, de boire,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de fumer, et avant de quitter le travail. Assurer une bonne ventilation de la zone de travail afin d'éviter la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formation de vapeurs.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7.2. Conditions nécessaires pour assurer la sécurité du stockage, tenant compte d’éventuelles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incompatibilités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34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7.3. Utilisation(s) finale(s) particulière(s)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8. 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PREVENTION DE L'EXPOSITION/VETEMENTS ET ACCESSOIRES DE PROTECTION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5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8.1. Paramètres de contrôle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8.2. Contrôles de l’exposition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21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Mesures d'ordre technique : Eviter le contact avec les yeux. Ne pas ingérer. Eviter le contact avec les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aliments et les boissons.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Equipements de protection individuelle :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- Protection des mains : Protection non requise.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- Protection des yeux : Protection non requise.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- Protection respiratoire :  En cas de ventilation insuffisante, porter un appareil respiratoire approprié.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9. 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PROPRIETES PHYSIQUES ET CHIMIQUES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5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9.1. Informations sur les propriétés physiques et chimiques essentielles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Etat Physique :                                      Solide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4/8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Adoucissant - 7%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4" w:after="0" w:line="26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Couleur :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Odeur : </w:t>
      </w:r>
    </w:p>
    <w:p>
      <w:pPr>
        <w:spacing w:before="84" w:after="0" w:line="26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84" w:after="0" w:line="26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Point de fusion/point de congélation    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9" w:after="0" w:line="263"/>
        <w:ind w:right="638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Point d'ébullition  :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Inflammabilité : </w:t>
      </w:r>
    </w:p>
    <w:p>
      <w:pPr>
        <w:spacing w:before="152" w:after="109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Limites inférieures et supérieures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d'explosion :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Point éclair en °C : </w:t>
      </w:r>
    </w:p>
    <w:p>
      <w:pPr>
        <w:spacing w:before="0" w:after="109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T° d'auto-inflammation  :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T° de décomposition  :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p.H : </w:t>
      </w:r>
    </w:p>
    <w:p>
      <w:pPr>
        <w:spacing w:before="0" w:after="109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Viscosité cinématique :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Solubilité dans l'eau : </w:t>
      </w:r>
    </w:p>
    <w:p>
      <w:pPr>
        <w:spacing w:before="109" w:after="152" w:line="263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09" w:after="152" w:line="263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concerné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concerné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8" w:after="0" w:line="240"/>
        <w:ind w:right="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&gt;200°C </w:t>
      </w:r>
    </w:p>
    <w:p>
      <w:pPr>
        <w:spacing w:before="111" w:after="0" w:line="240"/>
        <w:ind w:right="-565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109" w:after="0" w:line="240"/>
        <w:ind w:right="-565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111" w:after="0" w:line="240"/>
        <w:ind w:right="-565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111" w:after="0" w:line="240"/>
        <w:ind w:right="-565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109" w:after="0" w:line="240"/>
        <w:ind w:right="-565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" w:after="109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Coefficient de partage n-octanol/eau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(log) :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Pression de vapeur :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Densité relative (d20/20) :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Densité de vapeur relative : </w:t>
      </w:r>
    </w:p>
    <w:p>
      <w:pPr>
        <w:spacing w:before="11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1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3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9.2. Autres informations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63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Conservation en mois :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Indice de réfraction à 20°C : </w:t>
      </w: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12 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9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10. </w:t>
      </w:r>
    </w:p>
    <w:p>
      <w:pPr>
        <w:spacing w:before="159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59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STABILITE ET REACTIVITE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10.1. Réactivité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Pas de danger particulier à signaler.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10.2. Stabilité chimique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Non établi.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10.3. Possibilité de réactions dangereuses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Non établi.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10.4. Conditions à éviter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Rayons directs du soleil.Ne pas exposer à des températures très élevées ou très basses.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10.5. Matières incompatibles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4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5/8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Adoucissant - 7%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Eviter le contact avec les acides, les bases et les agents oxydants.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10.6. Produits de décomposition dangereux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Possibilité de formation de monoxyde, de dioxyde de carbone en cas de combustion.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11. 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INFORMATIONS TOXICOLOGIQUES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7" w:after="0" w:line="305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11.1. Informations sur les classes de danger telles que définies dans le règlement (CE) n° 1272/2008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alpha-Hexylcinnamaldehyde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ETAO : 3 100,00 mg/kg(Déterminée)     ETAC : Non Déterminée                         ETAI : Non Déterminée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53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11.2. Informations sur les autres dangers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concerné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98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12. </w:t>
      </w:r>
    </w:p>
    <w:p>
      <w:pPr>
        <w:spacing w:before="198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98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INFORMATIONS ECOLOGIQUES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7" w:after="0" w:line="305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12.1. Toxicité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applicable.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15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12.2. Persistance et dégradabilité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12.3. Potentiel de bioaccumulation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12.4. Mobilité dans le sol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12.5. Résultats des évaluations PBT et vPvB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6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12.6. Propriétés perturbatrices endocriniennes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concerné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12.7. Autres effets néfastes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4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6/8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Adoucissant - 7%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Eviter le rejet dans l'environnement.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13. 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ELIMINATION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13.1. Méthodes de traitement des déchets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Produit et emballages souillés :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évacuer conformément à la règlementation en vigueur.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14. 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INFORMATIONS CONCERNANT LE TRANSPORT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Nomenclature Douanière :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14.1. Numéro ONU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ADR/ADN/RID : NON REGLEMENTE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IMDG:NON REGLEMENTE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IATA :NON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3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14.2. Nom d’expédition des Nations unies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ADR/ADN/RID : NON REGLEMENTE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IMDG:NON REGLEMENTE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IATA :NON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3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14.3. Classe(s) de danger pour le transport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ADR/ADN/RID : NON REGLEMENTE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IMDG:NON REGLEMENTE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IATA :NON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14.4. Groupe d’emballage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ADR/ADN/RID : NON REGLEMENTE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IMDG:NON REGLEMENTE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IATA :NON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15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14.5. Dangers pour l’environnement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 : 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13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14.6. Précautions particulières à prendre par l’utilisateur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Se référer à la section 2.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14.7. Transport maritime en vrac conformément aux instruments de l'OMI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Non applicable.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15. 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INFORMATIONS REGLEMENTAIRES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4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7/8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Adoucissant - 7%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15.1. Réglementations/Législation particulières à la substance ou au mélange en matière de sécurité, de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santé et d’environnement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FDS établie selon le réglement (CE) 878/2020, 1272/2008 et 1907/2006 (REACH).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12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15.2. Évaluation de la sécurité chimique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2D2D2D"/>
          <w:spacing w:val="0"/>
          <w:position w:val="0"/>
          <w:sz w:val="19"/>
          <w:shd w:fill="auto" w:val="clear"/>
        </w:rPr>
        <w:t xml:space="preserve">Non concerné.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16. 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AUTRES INFORMATIONS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8"/>
          <w:shd w:fill="auto" w:val="clear"/>
        </w:rPr>
        <w:t xml:space="preserve">Texte intégral des phrases H citées en point 3  :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3" w:after="0" w:line="291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H315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H317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H400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H410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H411 </w:t>
      </w:r>
    </w:p>
    <w:p>
      <w:pPr>
        <w:spacing w:before="103" w:after="106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03" w:after="106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Provoque une irritation cutanée. </w:t>
      </w:r>
    </w:p>
    <w:p>
      <w:pPr>
        <w:spacing w:before="0" w:after="104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Peut provoquer une allergie cutanée. </w:t>
      </w:r>
    </w:p>
    <w:p>
      <w:pPr>
        <w:spacing w:before="0" w:after="104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Très toxique pour les organismes aquatiques. </w:t>
      </w:r>
    </w:p>
    <w:p>
      <w:pPr>
        <w:spacing w:before="0" w:after="0" w:line="26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Très toxique pour les organismes aquatiques, entraîne des effets néfastes à long terme.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Toxique pour les organismes aquatiques, entraîne des effets néfastes à long terme.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3" w:after="23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6"/>
          <w:shd w:fill="auto" w:val="clear"/>
        </w:rPr>
        <w:t xml:space="preserve">--------------------------------------------------------------------------------------------------------------------------------------------------------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Ces indications sont fondées sur l'état actuel de nos connaissances, mais ne constituent pas une garantie quant aux propriétés du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produit et ne donnent pas lieu à un rapport juridique contractuel.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6"/>
          <w:shd w:fill="auto" w:val="clear"/>
        </w:rPr>
        <w:t xml:space="preserve">--------------------------------------------------------------------------------------------------------------------------------------------------------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8/8 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